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94" w:rsidRDefault="00EB4241" w:rsidP="00EB4241">
      <w:pPr>
        <w:ind w:right="1133"/>
        <w:jc w:val="right"/>
        <w:rPr>
          <w:sz w:val="28"/>
          <w:szCs w:val="28"/>
        </w:rPr>
      </w:pPr>
      <w:r>
        <w:rPr>
          <w:sz w:val="28"/>
          <w:szCs w:val="28"/>
        </w:rPr>
        <w:t>pag. 66</w:t>
      </w:r>
    </w:p>
    <w:p w:rsidR="007F0C0D" w:rsidRPr="007F0C0D" w:rsidRDefault="007F0C0D" w:rsidP="007F0C0D">
      <w:pPr>
        <w:ind w:right="1133"/>
        <w:jc w:val="center"/>
        <w:rPr>
          <w:b/>
          <w:sz w:val="28"/>
          <w:szCs w:val="28"/>
        </w:rPr>
      </w:pPr>
      <w:r w:rsidRPr="007F0C0D">
        <w:rPr>
          <w:b/>
          <w:sz w:val="28"/>
          <w:szCs w:val="28"/>
        </w:rPr>
        <w:t>“SAN GIROLAMO MIANI".</w:t>
      </w:r>
    </w:p>
    <w:p w:rsidR="007F0C0D" w:rsidRPr="007F0C0D" w:rsidRDefault="007F0C0D" w:rsidP="007F0C0D">
      <w:pPr>
        <w:ind w:right="1133"/>
        <w:jc w:val="center"/>
        <w:rPr>
          <w:b/>
          <w:sz w:val="28"/>
          <w:szCs w:val="28"/>
        </w:rPr>
      </w:pPr>
      <w:r w:rsidRPr="007F0C0D">
        <w:rPr>
          <w:b/>
          <w:sz w:val="28"/>
          <w:szCs w:val="28"/>
        </w:rPr>
        <w:t>CONTRIBUTO ALLA CONOSCENZA DELLA PRERIFORMA CATTOLICA.</w:t>
      </w:r>
    </w:p>
    <w:p w:rsidR="00EB4241" w:rsidRDefault="00EB4241" w:rsidP="00EB4241">
      <w:pPr>
        <w:ind w:right="1133"/>
        <w:jc w:val="right"/>
        <w:rPr>
          <w:sz w:val="28"/>
          <w:szCs w:val="28"/>
        </w:rPr>
      </w:pPr>
    </w:p>
    <w:p w:rsidR="00EB4241" w:rsidRPr="00EB4241" w:rsidRDefault="00EB4241" w:rsidP="00EB4241">
      <w:pPr>
        <w:ind w:right="1133"/>
        <w:jc w:val="both"/>
        <w:rPr>
          <w:b/>
          <w:sz w:val="28"/>
          <w:szCs w:val="28"/>
          <w:u w:val="single"/>
        </w:rPr>
      </w:pPr>
      <w:r w:rsidRPr="00EB4241">
        <w:rPr>
          <w:b/>
          <w:sz w:val="28"/>
          <w:szCs w:val="28"/>
          <w:u w:val="single"/>
        </w:rPr>
        <w:t>3.4. “La milizia equestre”.</w:t>
      </w:r>
    </w:p>
    <w:p w:rsidR="00EB4241" w:rsidRPr="00EB4241" w:rsidRDefault="007F0C0D" w:rsidP="00EB4241">
      <w:pPr>
        <w:ind w:right="1133"/>
        <w:jc w:val="both"/>
        <w:rPr>
          <w:sz w:val="28"/>
          <w:szCs w:val="28"/>
        </w:rPr>
      </w:pPr>
      <w:r>
        <w:rPr>
          <w:sz w:val="28"/>
          <w:szCs w:val="28"/>
        </w:rPr>
        <w:tab/>
      </w:r>
      <w:r w:rsidR="00EB4241" w:rsidRPr="00EB4241">
        <w:rPr>
          <w:sz w:val="28"/>
          <w:szCs w:val="28"/>
        </w:rPr>
        <w:t>Tutto quello che conosciamo di Girolamo dal settembre 1511</w:t>
      </w:r>
      <w:r>
        <w:rPr>
          <w:sz w:val="28"/>
          <w:szCs w:val="28"/>
        </w:rPr>
        <w:t xml:space="preserve"> </w:t>
      </w:r>
      <w:r w:rsidR="00EB4241" w:rsidRPr="00EB4241">
        <w:rPr>
          <w:sz w:val="28"/>
          <w:szCs w:val="28"/>
        </w:rPr>
        <w:t>al 1516 è costituito da poche notizie, rintracciabili nei Diari del</w:t>
      </w:r>
      <w:r>
        <w:rPr>
          <w:sz w:val="28"/>
          <w:szCs w:val="28"/>
        </w:rPr>
        <w:t xml:space="preserve"> </w:t>
      </w:r>
      <w:r w:rsidR="00EB4241" w:rsidRPr="00EB4241">
        <w:rPr>
          <w:sz w:val="28"/>
          <w:szCs w:val="28"/>
        </w:rPr>
        <w:t>Sanudo, che non ci danno assol</w:t>
      </w:r>
      <w:r>
        <w:rPr>
          <w:sz w:val="28"/>
          <w:szCs w:val="28"/>
        </w:rPr>
        <w:t>utamente la possibilità di rico</w:t>
      </w:r>
      <w:r w:rsidR="00EB4241" w:rsidRPr="00EB4241">
        <w:rPr>
          <w:sz w:val="28"/>
          <w:szCs w:val="28"/>
        </w:rPr>
        <w:t>struire, sia pure a brevissime linee</w:t>
      </w:r>
      <w:r>
        <w:rPr>
          <w:sz w:val="28"/>
          <w:szCs w:val="28"/>
        </w:rPr>
        <w:t>, la vita. Le trascrivo lascian</w:t>
      </w:r>
      <w:r w:rsidR="00EB4241" w:rsidRPr="00EB4241">
        <w:rPr>
          <w:sz w:val="28"/>
          <w:szCs w:val="28"/>
        </w:rPr>
        <w:t>dole nella loro scheletricità.</w:t>
      </w:r>
    </w:p>
    <w:p w:rsidR="00EB4241" w:rsidRPr="00EB4241" w:rsidRDefault="007F0C0D" w:rsidP="00EB4241">
      <w:pPr>
        <w:ind w:right="1133"/>
        <w:jc w:val="both"/>
        <w:rPr>
          <w:sz w:val="28"/>
          <w:szCs w:val="28"/>
        </w:rPr>
      </w:pPr>
      <w:r>
        <w:rPr>
          <w:sz w:val="28"/>
          <w:szCs w:val="28"/>
        </w:rPr>
        <w:tab/>
      </w:r>
      <w:r w:rsidR="00EB4241" w:rsidRPr="00EB4241">
        <w:rPr>
          <w:sz w:val="28"/>
          <w:szCs w:val="28"/>
        </w:rPr>
        <w:t>Arrivato a Treviso, dopo aver riferito al provveditore generale Gradenigo quanto era venuto a conoscere nella tenda di Mercurio Bua, Girolamo si fermò in città per dare il suo contributo</w:t>
      </w:r>
      <w:r>
        <w:rPr>
          <w:sz w:val="28"/>
          <w:szCs w:val="28"/>
        </w:rPr>
        <w:t xml:space="preserve"> </w:t>
      </w:r>
      <w:r w:rsidR="00EB4241" w:rsidRPr="00EB4241">
        <w:rPr>
          <w:sz w:val="28"/>
          <w:szCs w:val="28"/>
        </w:rPr>
        <w:t>alla difesa</w:t>
      </w:r>
      <w:r>
        <w:rPr>
          <w:rStyle w:val="Rimandonotaapidipagina"/>
          <w:sz w:val="28"/>
          <w:szCs w:val="28"/>
        </w:rPr>
        <w:footnoteReference w:id="1"/>
      </w:r>
      <w:r w:rsidR="00EB4241" w:rsidRPr="00EB4241">
        <w:rPr>
          <w:sz w:val="28"/>
          <w:szCs w:val="28"/>
        </w:rPr>
        <w:t>. I nemici si fecero sotto Treviso e la cinsero d</w:t>
      </w:r>
      <w:r>
        <w:rPr>
          <w:sz w:val="28"/>
          <w:szCs w:val="28"/>
        </w:rPr>
        <w:t>’</w:t>
      </w:r>
      <w:r w:rsidR="00EB4241" w:rsidRPr="00EB4241">
        <w:rPr>
          <w:sz w:val="28"/>
          <w:szCs w:val="28"/>
        </w:rPr>
        <w:t xml:space="preserve">assedio </w:t>
      </w:r>
      <w:r>
        <w:rPr>
          <w:sz w:val="28"/>
          <w:szCs w:val="28"/>
        </w:rPr>
        <w:t>l</w:t>
      </w:r>
      <w:r w:rsidR="00EB4241" w:rsidRPr="00EB4241">
        <w:rPr>
          <w:sz w:val="28"/>
          <w:szCs w:val="28"/>
        </w:rPr>
        <w:t>'8 ottobre. La città si batt</w:t>
      </w:r>
      <w:r>
        <w:rPr>
          <w:sz w:val="28"/>
          <w:szCs w:val="28"/>
        </w:rPr>
        <w:t>è</w:t>
      </w:r>
      <w:r w:rsidR="00EB4241" w:rsidRPr="00EB4241">
        <w:rPr>
          <w:sz w:val="28"/>
          <w:szCs w:val="28"/>
        </w:rPr>
        <w:t xml:space="preserve"> bene. Il 14, i veneziani aprirono</w:t>
      </w:r>
      <w:r>
        <w:rPr>
          <w:sz w:val="28"/>
          <w:szCs w:val="28"/>
        </w:rPr>
        <w:t xml:space="preserve"> </w:t>
      </w:r>
      <w:r w:rsidR="00EB4241" w:rsidRPr="00EB4241">
        <w:rPr>
          <w:sz w:val="28"/>
          <w:szCs w:val="28"/>
        </w:rPr>
        <w:t>sugli assedianti un fuoco di artiglieria efficace. Fortunatamente</w:t>
      </w:r>
      <w:r>
        <w:rPr>
          <w:sz w:val="28"/>
          <w:szCs w:val="28"/>
        </w:rPr>
        <w:t xml:space="preserve"> </w:t>
      </w:r>
      <w:r w:rsidR="00EB4241" w:rsidRPr="00EB4241">
        <w:rPr>
          <w:sz w:val="28"/>
          <w:szCs w:val="28"/>
        </w:rPr>
        <w:t>per Venezia l</w:t>
      </w:r>
      <w:r>
        <w:rPr>
          <w:sz w:val="28"/>
          <w:szCs w:val="28"/>
        </w:rPr>
        <w:t>’</w:t>
      </w:r>
      <w:r w:rsidR="00EB4241" w:rsidRPr="00EB4241">
        <w:rPr>
          <w:sz w:val="28"/>
          <w:szCs w:val="28"/>
        </w:rPr>
        <w:t>impresa affidata al La Palisse era nata male: tra</w:t>
      </w:r>
      <w:r>
        <w:rPr>
          <w:sz w:val="28"/>
          <w:szCs w:val="28"/>
        </w:rPr>
        <w:t xml:space="preserve"> </w:t>
      </w:r>
      <w:r w:rsidR="00EB4241" w:rsidRPr="00EB4241">
        <w:rPr>
          <w:sz w:val="28"/>
          <w:szCs w:val="28"/>
        </w:rPr>
        <w:t>tedeschi e francesi vi erano mut</w:t>
      </w:r>
      <w:r>
        <w:rPr>
          <w:sz w:val="28"/>
          <w:szCs w:val="28"/>
        </w:rPr>
        <w:t>ue diffidenze e continue discor</w:t>
      </w:r>
      <w:r w:rsidR="00EB4241" w:rsidRPr="00EB4241">
        <w:rPr>
          <w:sz w:val="28"/>
          <w:szCs w:val="28"/>
        </w:rPr>
        <w:t>die e fu questo il motivo che li indusse, dopo pochi giorni, ad</w:t>
      </w:r>
      <w:r>
        <w:rPr>
          <w:sz w:val="28"/>
          <w:szCs w:val="28"/>
        </w:rPr>
        <w:t xml:space="preserve"> </w:t>
      </w:r>
      <w:r w:rsidR="00EB4241" w:rsidRPr="00EB4241">
        <w:rPr>
          <w:sz w:val="28"/>
          <w:szCs w:val="28"/>
        </w:rPr>
        <w:t>abbandonare l</w:t>
      </w:r>
      <w:r>
        <w:rPr>
          <w:sz w:val="28"/>
          <w:szCs w:val="28"/>
        </w:rPr>
        <w:t>’</w:t>
      </w:r>
      <w:r w:rsidR="00EB4241" w:rsidRPr="00EB4241">
        <w:rPr>
          <w:sz w:val="28"/>
          <w:szCs w:val="28"/>
        </w:rPr>
        <w:t>assedio</w:t>
      </w:r>
      <w:r>
        <w:rPr>
          <w:rStyle w:val="Rimandonotaapidipagina"/>
          <w:sz w:val="28"/>
          <w:szCs w:val="28"/>
        </w:rPr>
        <w:footnoteReference w:id="2"/>
      </w:r>
      <w:r w:rsidR="00EB4241" w:rsidRPr="00EB4241">
        <w:rPr>
          <w:sz w:val="28"/>
          <w:szCs w:val="28"/>
        </w:rPr>
        <w:t>.</w:t>
      </w:r>
    </w:p>
    <w:p w:rsidR="00EB4241" w:rsidRPr="00EB4241" w:rsidRDefault="00102508" w:rsidP="00EB4241">
      <w:pPr>
        <w:ind w:right="1133"/>
        <w:jc w:val="both"/>
        <w:rPr>
          <w:sz w:val="28"/>
          <w:szCs w:val="28"/>
        </w:rPr>
      </w:pPr>
      <w:r>
        <w:rPr>
          <w:sz w:val="28"/>
          <w:szCs w:val="28"/>
        </w:rPr>
        <w:tab/>
      </w:r>
      <w:r w:rsidR="00EB4241" w:rsidRPr="00EB4241">
        <w:rPr>
          <w:sz w:val="28"/>
          <w:szCs w:val="28"/>
        </w:rPr>
        <w:t>Il 28 ottobre 1512 Girolamo concorse all</w:t>
      </w:r>
      <w:r>
        <w:rPr>
          <w:sz w:val="28"/>
          <w:szCs w:val="28"/>
        </w:rPr>
        <w:t>’</w:t>
      </w:r>
      <w:r w:rsidR="00EB4241" w:rsidRPr="00EB4241">
        <w:rPr>
          <w:sz w:val="28"/>
          <w:szCs w:val="28"/>
        </w:rPr>
        <w:t>ufficio di provveditore a Romano. E benché egli potesse avanzare il merito di</w:t>
      </w:r>
      <w:r>
        <w:rPr>
          <w:sz w:val="28"/>
          <w:szCs w:val="28"/>
        </w:rPr>
        <w:t xml:space="preserve"> </w:t>
      </w:r>
      <w:r w:rsidR="00EB4241" w:rsidRPr="00EB4241">
        <w:rPr>
          <w:sz w:val="28"/>
          <w:szCs w:val="28"/>
        </w:rPr>
        <w:t>“essere stato a la custodia di Treviso", non riuscì. Sul suo nome</w:t>
      </w:r>
      <w:r>
        <w:rPr>
          <w:sz w:val="28"/>
          <w:szCs w:val="28"/>
        </w:rPr>
        <w:t xml:space="preserve"> </w:t>
      </w:r>
      <w:r w:rsidR="00EB4241" w:rsidRPr="00EB4241">
        <w:rPr>
          <w:sz w:val="28"/>
          <w:szCs w:val="28"/>
        </w:rPr>
        <w:t>si raccolsero 98 voti favorevoli e 71 contrari</w:t>
      </w:r>
      <w:r>
        <w:rPr>
          <w:rStyle w:val="Rimandonotaapidipagina"/>
          <w:sz w:val="28"/>
          <w:szCs w:val="28"/>
        </w:rPr>
        <w:footnoteReference w:id="3"/>
      </w:r>
      <w:r w:rsidR="00EB4241" w:rsidRPr="00EB4241">
        <w:rPr>
          <w:sz w:val="28"/>
          <w:szCs w:val="28"/>
        </w:rPr>
        <w:t>.</w:t>
      </w:r>
    </w:p>
    <w:p w:rsidR="00EB4241" w:rsidRPr="00EB4241" w:rsidRDefault="00102508" w:rsidP="00EB4241">
      <w:pPr>
        <w:ind w:right="1133"/>
        <w:jc w:val="both"/>
        <w:rPr>
          <w:sz w:val="28"/>
          <w:szCs w:val="28"/>
        </w:rPr>
      </w:pPr>
      <w:r>
        <w:rPr>
          <w:sz w:val="28"/>
          <w:szCs w:val="28"/>
        </w:rPr>
        <w:tab/>
      </w:r>
      <w:r w:rsidR="00EB4241" w:rsidRPr="00EB4241">
        <w:rPr>
          <w:sz w:val="28"/>
          <w:szCs w:val="28"/>
        </w:rPr>
        <w:t>L</w:t>
      </w:r>
      <w:r>
        <w:rPr>
          <w:sz w:val="28"/>
          <w:szCs w:val="28"/>
        </w:rPr>
        <w:t>’</w:t>
      </w:r>
      <w:r w:rsidR="00EB4241" w:rsidRPr="00EB4241">
        <w:rPr>
          <w:sz w:val="28"/>
          <w:szCs w:val="28"/>
        </w:rPr>
        <w:t xml:space="preserve"> 8 ottobre 1513 in una lista di “zentilhuomini e populari</w:t>
      </w:r>
      <w:r>
        <w:rPr>
          <w:sz w:val="28"/>
          <w:szCs w:val="28"/>
        </w:rPr>
        <w:t xml:space="preserve"> </w:t>
      </w:r>
      <w:r w:rsidR="00EB4241" w:rsidRPr="00EB4241">
        <w:rPr>
          <w:sz w:val="28"/>
          <w:szCs w:val="28"/>
        </w:rPr>
        <w:t>andorno a Padoa con sier Cristofal Moro, provedador general, et</w:t>
      </w:r>
    </w:p>
    <w:p w:rsidR="00EB4241" w:rsidRPr="00EB4241" w:rsidRDefault="00EB4241" w:rsidP="00102508">
      <w:pPr>
        <w:ind w:right="1133"/>
        <w:jc w:val="right"/>
        <w:rPr>
          <w:sz w:val="28"/>
          <w:szCs w:val="28"/>
        </w:rPr>
      </w:pPr>
      <w:r w:rsidRPr="00EB4241">
        <w:rPr>
          <w:sz w:val="28"/>
          <w:szCs w:val="28"/>
        </w:rPr>
        <w:t>pag. 67</w:t>
      </w:r>
    </w:p>
    <w:p w:rsidR="00EB4241" w:rsidRPr="00EB4241" w:rsidRDefault="00EB4241" w:rsidP="00EB4241">
      <w:pPr>
        <w:ind w:right="1133"/>
        <w:jc w:val="both"/>
        <w:rPr>
          <w:sz w:val="28"/>
          <w:szCs w:val="28"/>
        </w:rPr>
      </w:pPr>
      <w:r w:rsidRPr="00EB4241">
        <w:rPr>
          <w:sz w:val="28"/>
          <w:szCs w:val="28"/>
        </w:rPr>
        <w:lastRenderedPageBreak/>
        <w:t>da pari loro, et sono lì al presente” si ha anche “sier Hieronimo</w:t>
      </w:r>
      <w:r w:rsidR="00102508">
        <w:rPr>
          <w:sz w:val="28"/>
          <w:szCs w:val="28"/>
        </w:rPr>
        <w:t xml:space="preserve"> </w:t>
      </w:r>
      <w:r w:rsidRPr="00EB4241">
        <w:rPr>
          <w:sz w:val="28"/>
          <w:szCs w:val="28"/>
        </w:rPr>
        <w:t>Miani qu. sier Anzolo"</w:t>
      </w:r>
      <w:r w:rsidR="00102508">
        <w:rPr>
          <w:rStyle w:val="Rimandonotaapidipagina"/>
          <w:sz w:val="28"/>
          <w:szCs w:val="28"/>
        </w:rPr>
        <w:footnoteReference w:id="4"/>
      </w:r>
      <w:r w:rsidRPr="00EB4241">
        <w:rPr>
          <w:sz w:val="28"/>
          <w:szCs w:val="28"/>
        </w:rPr>
        <w:t>.</w:t>
      </w:r>
    </w:p>
    <w:p w:rsidR="00EB4241" w:rsidRPr="00EB4241" w:rsidRDefault="00102508" w:rsidP="00EB4241">
      <w:pPr>
        <w:ind w:right="1133"/>
        <w:jc w:val="both"/>
        <w:rPr>
          <w:sz w:val="28"/>
          <w:szCs w:val="28"/>
        </w:rPr>
      </w:pPr>
      <w:r>
        <w:rPr>
          <w:sz w:val="28"/>
          <w:szCs w:val="28"/>
        </w:rPr>
        <w:tab/>
      </w:r>
      <w:r w:rsidR="00EB4241" w:rsidRPr="00EB4241">
        <w:rPr>
          <w:sz w:val="28"/>
          <w:szCs w:val="28"/>
        </w:rPr>
        <w:t>Il 20 giugno 1514 Girolamo era nel Friuli accanto al provveditore generale Giovanni Vittori. Il Friuli era ricaduto nel settembre 1511 sotto i tedeschi, ma molti fautori di Venezia non avevano deposto le armi e vi tenevano accesa una guerra partigiana. A</w:t>
      </w:r>
      <w:r>
        <w:rPr>
          <w:sz w:val="28"/>
          <w:szCs w:val="28"/>
        </w:rPr>
        <w:t xml:space="preserve"> </w:t>
      </w:r>
      <w:r w:rsidR="00EB4241" w:rsidRPr="00EB4241">
        <w:rPr>
          <w:sz w:val="28"/>
          <w:szCs w:val="28"/>
        </w:rPr>
        <w:t>capo di costoro era il nobile Girolamo Savorgnan. I veneziani</w:t>
      </w:r>
      <w:r>
        <w:rPr>
          <w:sz w:val="28"/>
          <w:szCs w:val="28"/>
        </w:rPr>
        <w:t xml:space="preserve"> </w:t>
      </w:r>
      <w:r w:rsidR="00EB4241" w:rsidRPr="00EB4241">
        <w:rPr>
          <w:sz w:val="28"/>
          <w:szCs w:val="28"/>
        </w:rPr>
        <w:t>avevano loro mandato in aiuto un esercito con il provveditore</w:t>
      </w:r>
      <w:r>
        <w:rPr>
          <w:sz w:val="28"/>
          <w:szCs w:val="28"/>
        </w:rPr>
        <w:t xml:space="preserve"> </w:t>
      </w:r>
      <w:r w:rsidR="00EB4241" w:rsidRPr="00EB4241">
        <w:rPr>
          <w:sz w:val="28"/>
          <w:szCs w:val="28"/>
        </w:rPr>
        <w:t>Vittori. In quei giorni il Savorgan stava assediando Marano. Ma</w:t>
      </w:r>
      <w:r>
        <w:rPr>
          <w:sz w:val="28"/>
          <w:szCs w:val="28"/>
        </w:rPr>
        <w:t xml:space="preserve"> </w:t>
      </w:r>
      <w:r w:rsidR="00EB4241" w:rsidRPr="00EB4241">
        <w:rPr>
          <w:sz w:val="28"/>
          <w:szCs w:val="28"/>
        </w:rPr>
        <w:t>siccome aveva ricevuto notizia che in Gradisca si era ammassato</w:t>
      </w:r>
      <w:r>
        <w:rPr>
          <w:sz w:val="28"/>
          <w:szCs w:val="28"/>
        </w:rPr>
        <w:t xml:space="preserve"> </w:t>
      </w:r>
      <w:r w:rsidR="00EB4241" w:rsidRPr="00EB4241">
        <w:rPr>
          <w:sz w:val="28"/>
          <w:szCs w:val="28"/>
        </w:rPr>
        <w:t>un notevole contingente di forze nemiche per venire in soccorso</w:t>
      </w:r>
      <w:r>
        <w:rPr>
          <w:sz w:val="28"/>
          <w:szCs w:val="28"/>
        </w:rPr>
        <w:t xml:space="preserve"> </w:t>
      </w:r>
      <w:r w:rsidR="00EB4241" w:rsidRPr="00EB4241">
        <w:rPr>
          <w:sz w:val="28"/>
          <w:szCs w:val="28"/>
        </w:rPr>
        <w:t>a Marano, aveva chiesto al Vittori se avesse dovuto abbandonare</w:t>
      </w:r>
      <w:r>
        <w:rPr>
          <w:sz w:val="28"/>
          <w:szCs w:val="28"/>
        </w:rPr>
        <w:t xml:space="preserve"> l’</w:t>
      </w:r>
      <w:r w:rsidR="00EB4241" w:rsidRPr="00EB4241">
        <w:rPr>
          <w:sz w:val="28"/>
          <w:szCs w:val="28"/>
        </w:rPr>
        <w:t>assedio. Il Vittori gli rispose di tener saldo, perché dal castello</w:t>
      </w:r>
      <w:r>
        <w:rPr>
          <w:sz w:val="28"/>
          <w:szCs w:val="28"/>
        </w:rPr>
        <w:t xml:space="preserve"> </w:t>
      </w:r>
      <w:r w:rsidR="00EB4241" w:rsidRPr="00EB4241">
        <w:rPr>
          <w:sz w:val="28"/>
          <w:szCs w:val="28"/>
        </w:rPr>
        <w:t>di Porpede, ove si trovava, egli avrebbe potuto dominare le due</w:t>
      </w:r>
      <w:r>
        <w:rPr>
          <w:sz w:val="28"/>
          <w:szCs w:val="28"/>
        </w:rPr>
        <w:t xml:space="preserve"> </w:t>
      </w:r>
      <w:r w:rsidR="00EB4241" w:rsidRPr="00EB4241">
        <w:rPr>
          <w:sz w:val="28"/>
          <w:szCs w:val="28"/>
        </w:rPr>
        <w:t>vie di accesso a Marano. Qualora avesse dovuto ritirarsi, gli</w:t>
      </w:r>
      <w:r>
        <w:rPr>
          <w:sz w:val="28"/>
          <w:szCs w:val="28"/>
        </w:rPr>
        <w:t xml:space="preserve"> </w:t>
      </w:r>
      <w:r w:rsidR="00EB4241" w:rsidRPr="00EB4241">
        <w:rPr>
          <w:sz w:val="28"/>
          <w:szCs w:val="28"/>
        </w:rPr>
        <w:t xml:space="preserve">avrebbe mandato come nunzio “sier Hieronimo Miani., qu. </w:t>
      </w:r>
      <w:r w:rsidR="002F39E7">
        <w:rPr>
          <w:sz w:val="28"/>
          <w:szCs w:val="28"/>
        </w:rPr>
        <w:t>s</w:t>
      </w:r>
      <w:r w:rsidR="00EB4241" w:rsidRPr="00EB4241">
        <w:rPr>
          <w:sz w:val="28"/>
          <w:szCs w:val="28"/>
        </w:rPr>
        <w:t>ier</w:t>
      </w:r>
      <w:r>
        <w:rPr>
          <w:sz w:val="28"/>
          <w:szCs w:val="28"/>
        </w:rPr>
        <w:t xml:space="preserve"> </w:t>
      </w:r>
      <w:r w:rsidR="00EB4241" w:rsidRPr="00EB4241">
        <w:rPr>
          <w:sz w:val="28"/>
          <w:szCs w:val="28"/>
        </w:rPr>
        <w:t>Anzolo</w:t>
      </w:r>
      <w:r>
        <w:rPr>
          <w:sz w:val="28"/>
          <w:szCs w:val="28"/>
        </w:rPr>
        <w:t>”</w:t>
      </w:r>
      <w:r>
        <w:rPr>
          <w:rStyle w:val="Rimandonotaapidipagina"/>
          <w:sz w:val="28"/>
          <w:szCs w:val="28"/>
        </w:rPr>
        <w:footnoteReference w:id="5"/>
      </w:r>
      <w:r w:rsidR="00EB4241" w:rsidRPr="00EB4241">
        <w:rPr>
          <w:sz w:val="28"/>
          <w:szCs w:val="28"/>
        </w:rPr>
        <w:t>.</w:t>
      </w:r>
    </w:p>
    <w:p w:rsidR="00EB4241" w:rsidRPr="00EB4241" w:rsidRDefault="002F39E7" w:rsidP="00EB4241">
      <w:pPr>
        <w:ind w:right="1133"/>
        <w:jc w:val="both"/>
        <w:rPr>
          <w:sz w:val="28"/>
          <w:szCs w:val="28"/>
        </w:rPr>
      </w:pPr>
      <w:r>
        <w:rPr>
          <w:sz w:val="28"/>
          <w:szCs w:val="28"/>
        </w:rPr>
        <w:tab/>
      </w:r>
      <w:r w:rsidR="00EB4241" w:rsidRPr="00EB4241">
        <w:rPr>
          <w:sz w:val="28"/>
          <w:szCs w:val="28"/>
        </w:rPr>
        <w:t>L'8 giugno 1516 concorse all</w:t>
      </w:r>
      <w:r>
        <w:rPr>
          <w:sz w:val="28"/>
          <w:szCs w:val="28"/>
        </w:rPr>
        <w:t>a elezione dei quaranta al civi</w:t>
      </w:r>
      <w:r w:rsidR="00EB4241" w:rsidRPr="00EB4241">
        <w:rPr>
          <w:sz w:val="28"/>
          <w:szCs w:val="28"/>
        </w:rPr>
        <w:t>le. Ma anche questa volta non ebbe esito favorevole</w:t>
      </w:r>
      <w:r>
        <w:rPr>
          <w:rStyle w:val="Rimandonotaapidipagina"/>
          <w:sz w:val="28"/>
          <w:szCs w:val="28"/>
        </w:rPr>
        <w:footnoteReference w:id="6"/>
      </w:r>
      <w:r w:rsidR="00EB4241" w:rsidRPr="00EB4241">
        <w:rPr>
          <w:sz w:val="28"/>
          <w:szCs w:val="28"/>
        </w:rPr>
        <w:t>.</w:t>
      </w:r>
    </w:p>
    <w:p w:rsidR="00EB4241" w:rsidRPr="00EB4241" w:rsidRDefault="002F39E7" w:rsidP="00EB4241">
      <w:pPr>
        <w:ind w:right="1133"/>
        <w:jc w:val="both"/>
        <w:rPr>
          <w:sz w:val="28"/>
          <w:szCs w:val="28"/>
        </w:rPr>
      </w:pPr>
      <w:r>
        <w:rPr>
          <w:sz w:val="28"/>
          <w:szCs w:val="28"/>
        </w:rPr>
        <w:tab/>
      </w:r>
      <w:r w:rsidR="00EB4241" w:rsidRPr="00EB4241">
        <w:rPr>
          <w:sz w:val="28"/>
          <w:szCs w:val="28"/>
        </w:rPr>
        <w:t>Nel 1516 ritornò alla reggenza di Castelnuovo. Accettando di</w:t>
      </w:r>
      <w:r>
        <w:rPr>
          <w:sz w:val="28"/>
          <w:szCs w:val="28"/>
        </w:rPr>
        <w:t xml:space="preserve"> </w:t>
      </w:r>
      <w:r w:rsidR="00EB4241" w:rsidRPr="00EB4241">
        <w:rPr>
          <w:sz w:val="28"/>
          <w:szCs w:val="28"/>
        </w:rPr>
        <w:t>sostituire il fratello Luca, secondo il decreto di concessione, era</w:t>
      </w:r>
      <w:r>
        <w:rPr>
          <w:sz w:val="28"/>
          <w:szCs w:val="28"/>
        </w:rPr>
        <w:t xml:space="preserve"> </w:t>
      </w:r>
      <w:r w:rsidR="00EB4241" w:rsidRPr="00EB4241">
        <w:rPr>
          <w:sz w:val="28"/>
          <w:szCs w:val="28"/>
        </w:rPr>
        <w:t>anche automaticamente tenuto a farvi continua residenza e a non</w:t>
      </w:r>
      <w:r>
        <w:rPr>
          <w:sz w:val="28"/>
          <w:szCs w:val="28"/>
        </w:rPr>
        <w:t xml:space="preserve"> </w:t>
      </w:r>
      <w:r w:rsidR="00EB4241" w:rsidRPr="00EB4241">
        <w:rPr>
          <w:sz w:val="28"/>
          <w:szCs w:val="28"/>
        </w:rPr>
        <w:t>concorrere più per alcun altro ufficio.</w:t>
      </w:r>
    </w:p>
    <w:p w:rsidR="00EB4241" w:rsidRPr="00EB4241" w:rsidRDefault="002F39E7" w:rsidP="00EB4241">
      <w:pPr>
        <w:ind w:right="1133"/>
        <w:jc w:val="both"/>
        <w:rPr>
          <w:sz w:val="28"/>
          <w:szCs w:val="28"/>
        </w:rPr>
      </w:pPr>
      <w:r>
        <w:rPr>
          <w:sz w:val="28"/>
          <w:szCs w:val="28"/>
        </w:rPr>
        <w:tab/>
      </w:r>
      <w:r w:rsidR="00EB4241" w:rsidRPr="00EB4241">
        <w:rPr>
          <w:sz w:val="28"/>
          <w:szCs w:val="28"/>
        </w:rPr>
        <w:t>Dei fratelli di Girolamo, durante questo periodo, Luca era</w:t>
      </w:r>
      <w:r>
        <w:rPr>
          <w:sz w:val="28"/>
          <w:szCs w:val="28"/>
        </w:rPr>
        <w:t xml:space="preserve"> </w:t>
      </w:r>
      <w:r w:rsidR="00EB4241" w:rsidRPr="00EB4241">
        <w:rPr>
          <w:sz w:val="28"/>
          <w:szCs w:val="28"/>
        </w:rPr>
        <w:t>rimasto a Venezia a curare gli interessi di famiglia. Nel 1514 egli</w:t>
      </w:r>
      <w:r>
        <w:rPr>
          <w:sz w:val="28"/>
          <w:szCs w:val="28"/>
        </w:rPr>
        <w:t xml:space="preserve"> </w:t>
      </w:r>
      <w:r w:rsidR="00EB4241" w:rsidRPr="00EB4241">
        <w:rPr>
          <w:sz w:val="28"/>
          <w:szCs w:val="28"/>
        </w:rPr>
        <w:t>sposò Cecilia Bragadin Cimese, vedova di Vincenzo Minotto</w:t>
      </w:r>
      <w:r>
        <w:rPr>
          <w:rStyle w:val="Rimandonotaapidipagina"/>
          <w:sz w:val="28"/>
          <w:szCs w:val="28"/>
        </w:rPr>
        <w:footnoteReference w:id="7"/>
      </w:r>
      <w:r w:rsidR="00EB4241" w:rsidRPr="00EB4241">
        <w:rPr>
          <w:sz w:val="28"/>
          <w:szCs w:val="28"/>
        </w:rPr>
        <w:t>.</w:t>
      </w:r>
    </w:p>
    <w:p w:rsidR="00EB4241" w:rsidRPr="00EB4241" w:rsidRDefault="002F39E7" w:rsidP="00EB4241">
      <w:pPr>
        <w:ind w:right="1133"/>
        <w:jc w:val="both"/>
        <w:rPr>
          <w:sz w:val="28"/>
          <w:szCs w:val="28"/>
        </w:rPr>
      </w:pPr>
      <w:r>
        <w:rPr>
          <w:sz w:val="28"/>
          <w:szCs w:val="28"/>
        </w:rPr>
        <w:tab/>
      </w:r>
      <w:r w:rsidR="00EB4241" w:rsidRPr="00EB4241">
        <w:rPr>
          <w:sz w:val="28"/>
          <w:szCs w:val="28"/>
        </w:rPr>
        <w:t>Marco, che dei fratelli fu senza dubbio il più facoltoso, già</w:t>
      </w:r>
      <w:r>
        <w:rPr>
          <w:sz w:val="28"/>
          <w:szCs w:val="28"/>
        </w:rPr>
        <w:t xml:space="preserve"> </w:t>
      </w:r>
      <w:r w:rsidR="00EB4241" w:rsidRPr="00EB4241">
        <w:rPr>
          <w:sz w:val="28"/>
          <w:szCs w:val="28"/>
        </w:rPr>
        <w:t>sposato, dovette essere per un cer</w:t>
      </w:r>
      <w:r w:rsidR="00B65894">
        <w:rPr>
          <w:sz w:val="28"/>
          <w:szCs w:val="28"/>
        </w:rPr>
        <w:t>to tempo provvedi tore a Civida</w:t>
      </w:r>
      <w:r w:rsidR="00EB4241" w:rsidRPr="00EB4241">
        <w:rPr>
          <w:sz w:val="28"/>
          <w:szCs w:val="28"/>
        </w:rPr>
        <w:t>le di Belluno</w:t>
      </w:r>
      <w:r w:rsidR="00B65894">
        <w:rPr>
          <w:rStyle w:val="Rimandonotaapidipagina"/>
          <w:sz w:val="28"/>
          <w:szCs w:val="28"/>
        </w:rPr>
        <w:footnoteReference w:id="8"/>
      </w:r>
      <w:r w:rsidR="00EB4241" w:rsidRPr="00EB4241">
        <w:rPr>
          <w:sz w:val="28"/>
          <w:szCs w:val="28"/>
        </w:rPr>
        <w:t>. Nel 1515 concorse al prestito indetto dal Gran</w:t>
      </w:r>
      <w:r w:rsidR="00B65894">
        <w:rPr>
          <w:sz w:val="28"/>
          <w:szCs w:val="28"/>
        </w:rPr>
        <w:t xml:space="preserve"> </w:t>
      </w:r>
      <w:r w:rsidR="00EB4241" w:rsidRPr="00EB4241">
        <w:rPr>
          <w:sz w:val="28"/>
          <w:szCs w:val="28"/>
        </w:rPr>
        <w:t>Consiglio, offrendo 200 ducati d</w:t>
      </w:r>
      <w:r w:rsidR="00B65894">
        <w:rPr>
          <w:sz w:val="28"/>
          <w:szCs w:val="28"/>
        </w:rPr>
        <w:t>’</w:t>
      </w:r>
      <w:r w:rsidR="00EB4241" w:rsidRPr="00EB4241">
        <w:rPr>
          <w:sz w:val="28"/>
          <w:szCs w:val="28"/>
        </w:rPr>
        <w:t>oro, e poco dopo venne eletto</w:t>
      </w:r>
      <w:r w:rsidR="00B65894">
        <w:rPr>
          <w:sz w:val="28"/>
          <w:szCs w:val="28"/>
        </w:rPr>
        <w:t xml:space="preserve"> </w:t>
      </w:r>
    </w:p>
    <w:p w:rsidR="00EB4241" w:rsidRDefault="00EB4241" w:rsidP="00B65894">
      <w:pPr>
        <w:ind w:right="1133"/>
        <w:jc w:val="right"/>
        <w:rPr>
          <w:sz w:val="28"/>
          <w:szCs w:val="28"/>
        </w:rPr>
      </w:pPr>
      <w:r w:rsidRPr="00EB4241">
        <w:rPr>
          <w:sz w:val="28"/>
          <w:szCs w:val="28"/>
        </w:rPr>
        <w:t>pag. 68</w:t>
      </w:r>
    </w:p>
    <w:p w:rsidR="00EB4241" w:rsidRPr="00EB4241" w:rsidRDefault="00EB4241" w:rsidP="00EB4241">
      <w:pPr>
        <w:ind w:right="1133"/>
        <w:jc w:val="both"/>
        <w:rPr>
          <w:sz w:val="28"/>
          <w:szCs w:val="28"/>
        </w:rPr>
      </w:pPr>
      <w:r w:rsidRPr="00EB4241">
        <w:rPr>
          <w:sz w:val="28"/>
          <w:szCs w:val="28"/>
        </w:rPr>
        <w:lastRenderedPageBreak/>
        <w:t>pagatore in campo, con la retribuzione di quaranta ducati al</w:t>
      </w:r>
      <w:r w:rsidR="00B65894">
        <w:rPr>
          <w:sz w:val="28"/>
          <w:szCs w:val="28"/>
        </w:rPr>
        <w:t xml:space="preserve"> </w:t>
      </w:r>
      <w:r w:rsidRPr="00EB4241">
        <w:rPr>
          <w:sz w:val="28"/>
          <w:szCs w:val="28"/>
        </w:rPr>
        <w:t>mese</w:t>
      </w:r>
      <w:r w:rsidR="00B65894">
        <w:rPr>
          <w:rStyle w:val="Rimandonotaapidipagina"/>
          <w:sz w:val="28"/>
          <w:szCs w:val="28"/>
        </w:rPr>
        <w:footnoteReference w:id="9"/>
      </w:r>
      <w:r w:rsidRPr="00EB4241">
        <w:rPr>
          <w:sz w:val="28"/>
          <w:szCs w:val="28"/>
        </w:rPr>
        <w:t xml:space="preserve">. Dal 1° ottobre 1516 </w:t>
      </w:r>
      <w:r w:rsidR="00B65894">
        <w:rPr>
          <w:sz w:val="28"/>
          <w:szCs w:val="28"/>
        </w:rPr>
        <w:t>fu uno dei tre Savi agli ordini</w:t>
      </w:r>
      <w:r w:rsidR="00B65894">
        <w:rPr>
          <w:rStyle w:val="Rimandonotaapidipagina"/>
          <w:sz w:val="28"/>
          <w:szCs w:val="28"/>
        </w:rPr>
        <w:footnoteReference w:id="10"/>
      </w:r>
    </w:p>
    <w:p w:rsidR="00EB4241" w:rsidRPr="00EB4241" w:rsidRDefault="00B14E99" w:rsidP="00EB4241">
      <w:pPr>
        <w:ind w:right="1133"/>
        <w:jc w:val="both"/>
        <w:rPr>
          <w:sz w:val="28"/>
          <w:szCs w:val="28"/>
        </w:rPr>
      </w:pPr>
      <w:r>
        <w:rPr>
          <w:sz w:val="28"/>
          <w:szCs w:val="28"/>
        </w:rPr>
        <w:tab/>
      </w:r>
      <w:r w:rsidR="00EB4241" w:rsidRPr="00EB4241">
        <w:rPr>
          <w:sz w:val="28"/>
          <w:szCs w:val="28"/>
        </w:rPr>
        <w:t>Carlo era sempre lontano dalla famiglia. Nel 1512 si trovava</w:t>
      </w:r>
      <w:r>
        <w:rPr>
          <w:sz w:val="28"/>
          <w:szCs w:val="28"/>
        </w:rPr>
        <w:t xml:space="preserve"> </w:t>
      </w:r>
      <w:r w:rsidR="00EB4241" w:rsidRPr="00EB4241">
        <w:rPr>
          <w:sz w:val="28"/>
          <w:szCs w:val="28"/>
        </w:rPr>
        <w:t>a Ladrone, sul lago di Garda e in val Camonica</w:t>
      </w:r>
      <w:r>
        <w:rPr>
          <w:rStyle w:val="Rimandonotaapidipagina"/>
          <w:sz w:val="28"/>
          <w:szCs w:val="28"/>
        </w:rPr>
        <w:footnoteReference w:id="11"/>
      </w:r>
      <w:r w:rsidR="00EB4241" w:rsidRPr="00EB4241">
        <w:rPr>
          <w:sz w:val="28"/>
          <w:szCs w:val="28"/>
        </w:rPr>
        <w:t>. Nel luglio fu</w:t>
      </w:r>
      <w:r>
        <w:rPr>
          <w:sz w:val="28"/>
          <w:szCs w:val="28"/>
        </w:rPr>
        <w:t xml:space="preserve"> </w:t>
      </w:r>
      <w:r w:rsidR="00EB4241" w:rsidRPr="00EB4241">
        <w:rPr>
          <w:sz w:val="28"/>
          <w:szCs w:val="28"/>
        </w:rPr>
        <w:t>anche provvisoriamente eletto camerlengo a Bergamo</w:t>
      </w:r>
      <w:r>
        <w:rPr>
          <w:rStyle w:val="Rimandonotaapidipagina"/>
          <w:sz w:val="28"/>
          <w:szCs w:val="28"/>
        </w:rPr>
        <w:footnoteReference w:id="12"/>
      </w:r>
      <w:r w:rsidR="00EB4241" w:rsidRPr="00EB4241">
        <w:rPr>
          <w:sz w:val="28"/>
          <w:szCs w:val="28"/>
        </w:rPr>
        <w:t>. Poi</w:t>
      </w:r>
      <w:r>
        <w:rPr>
          <w:sz w:val="28"/>
          <w:szCs w:val="28"/>
        </w:rPr>
        <w:t xml:space="preserve"> </w:t>
      </w:r>
      <w:r w:rsidR="00EB4241" w:rsidRPr="00EB4241">
        <w:rPr>
          <w:sz w:val="28"/>
          <w:szCs w:val="28"/>
        </w:rPr>
        <w:t>guerreggiò a capo di cinquecento uomini per la repubblica nella</w:t>
      </w:r>
      <w:r>
        <w:rPr>
          <w:sz w:val="28"/>
          <w:szCs w:val="28"/>
        </w:rPr>
        <w:t xml:space="preserve"> </w:t>
      </w:r>
      <w:r w:rsidR="00EB4241" w:rsidRPr="00EB4241">
        <w:rPr>
          <w:sz w:val="28"/>
          <w:szCs w:val="28"/>
        </w:rPr>
        <w:t>zona di Salò, riportando buoni successi</w:t>
      </w:r>
      <w:r>
        <w:rPr>
          <w:rStyle w:val="Rimandonotaapidipagina"/>
          <w:sz w:val="28"/>
          <w:szCs w:val="28"/>
        </w:rPr>
        <w:footnoteReference w:id="13"/>
      </w:r>
      <w:r w:rsidR="00EB4241" w:rsidRPr="00EB4241">
        <w:rPr>
          <w:sz w:val="28"/>
          <w:szCs w:val="28"/>
        </w:rPr>
        <w:t>.</w:t>
      </w:r>
      <w:bookmarkStart w:id="0" w:name="_GoBack"/>
      <w:bookmarkEnd w:id="0"/>
    </w:p>
    <w:sectPr w:rsidR="00EB4241" w:rsidRPr="00EB424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04" w:rsidRDefault="00E15404" w:rsidP="007F0C0D">
      <w:pPr>
        <w:spacing w:after="0" w:line="240" w:lineRule="auto"/>
      </w:pPr>
      <w:r>
        <w:separator/>
      </w:r>
    </w:p>
  </w:endnote>
  <w:endnote w:type="continuationSeparator" w:id="0">
    <w:p w:rsidR="00E15404" w:rsidRDefault="00E15404" w:rsidP="007F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04" w:rsidRDefault="00E15404" w:rsidP="007F0C0D">
      <w:pPr>
        <w:spacing w:after="0" w:line="240" w:lineRule="auto"/>
      </w:pPr>
      <w:r>
        <w:separator/>
      </w:r>
    </w:p>
  </w:footnote>
  <w:footnote w:type="continuationSeparator" w:id="0">
    <w:p w:rsidR="00E15404" w:rsidRDefault="00E15404" w:rsidP="007F0C0D">
      <w:pPr>
        <w:spacing w:after="0" w:line="240" w:lineRule="auto"/>
      </w:pPr>
      <w:r>
        <w:continuationSeparator/>
      </w:r>
    </w:p>
  </w:footnote>
  <w:footnote w:id="1">
    <w:p w:rsidR="007F0C0D" w:rsidRDefault="007F0C0D" w:rsidP="007F0C0D">
      <w:pPr>
        <w:pStyle w:val="Testonotaapidipagina"/>
        <w:ind w:right="1133"/>
        <w:jc w:val="both"/>
      </w:pPr>
      <w:r>
        <w:rPr>
          <w:rStyle w:val="Rimandonotaapidipagina"/>
        </w:rPr>
        <w:footnoteRef/>
      </w:r>
      <w:r>
        <w:t xml:space="preserve"> (93), </w:t>
      </w:r>
      <w:r w:rsidRPr="007F0C0D">
        <w:t>Per dare maggiore impulso alla difesa e tenere a bada le milizie mercenarie a Treviso assieme al provveditore generale vi erano alcuni gentiluomini volontari, i quali erano stati distribuiti due a due perché esercitassero la vigilanza nei luoghi più importanti della citta. Fra questi il Sanudo segnala la presenza di Marco Miani “con cinque uomini da lui provvisionati" (t. XII, coll. 23-64). La zona della città a lui affidata era il castello. Non saprei però se egli fosse ancora a Treviso quando vi arrivò Girolamo, perche durante il mese di settembre, varie segnalazioni (lettere del Giustiniani che era uno dei gentiluomini) dicono che la maggior parte, stanchi e sfiduciati, erano tornati a Venezia.</w:t>
      </w:r>
    </w:p>
  </w:footnote>
  <w:footnote w:id="2">
    <w:p w:rsidR="007F0C0D" w:rsidRDefault="007F0C0D" w:rsidP="00102508">
      <w:pPr>
        <w:pStyle w:val="Testonotaapidipagina"/>
      </w:pPr>
      <w:r>
        <w:rPr>
          <w:rStyle w:val="Rimandonotaapidipagina"/>
        </w:rPr>
        <w:footnoteRef/>
      </w:r>
      <w:r>
        <w:t xml:space="preserve"> (94), </w:t>
      </w:r>
      <w:r w:rsidR="00102508">
        <w:t xml:space="preserve">F. SANTALENA, </w:t>
      </w:r>
      <w:r w:rsidR="00102508" w:rsidRPr="00102508">
        <w:rPr>
          <w:i/>
        </w:rPr>
        <w:t>Veneti e imperiali, Treviso al tempo della Lega di Cambrai</w:t>
      </w:r>
      <w:r w:rsidR="00102508">
        <w:t>,</w:t>
      </w:r>
      <w:r w:rsidR="00102508">
        <w:t xml:space="preserve"> </w:t>
      </w:r>
      <w:r w:rsidR="00102508">
        <w:t>Venezia 1986, I, 23-24.</w:t>
      </w:r>
    </w:p>
  </w:footnote>
  <w:footnote w:id="3">
    <w:p w:rsidR="00102508" w:rsidRPr="00102508" w:rsidRDefault="00102508">
      <w:pPr>
        <w:pStyle w:val="Testonotaapidipagina"/>
      </w:pPr>
      <w:r>
        <w:rPr>
          <w:rStyle w:val="Rimandonotaapidipagina"/>
        </w:rPr>
        <w:footnoteRef/>
      </w:r>
      <w:r>
        <w:t xml:space="preserve"> (95), M. SANUDO, </w:t>
      </w:r>
      <w:r>
        <w:rPr>
          <w:i/>
        </w:rPr>
        <w:t xml:space="preserve">Diari, </w:t>
      </w:r>
      <w:r>
        <w:t>citt. T. XV, col. 278.</w:t>
      </w:r>
    </w:p>
  </w:footnote>
  <w:footnote w:id="4">
    <w:p w:rsidR="00102508" w:rsidRPr="00102508" w:rsidRDefault="00102508">
      <w:pPr>
        <w:pStyle w:val="Testonotaapidipagina"/>
      </w:pPr>
      <w:r>
        <w:rPr>
          <w:rStyle w:val="Rimandonotaapidipagina"/>
        </w:rPr>
        <w:footnoteRef/>
      </w:r>
      <w:r>
        <w:t xml:space="preserve"> (96), </w:t>
      </w:r>
      <w:r>
        <w:rPr>
          <w:i/>
        </w:rPr>
        <w:t xml:space="preserve">Ibidem, </w:t>
      </w:r>
      <w:r>
        <w:t>col. 161.</w:t>
      </w:r>
    </w:p>
  </w:footnote>
  <w:footnote w:id="5">
    <w:p w:rsidR="00102508" w:rsidRPr="00102508" w:rsidRDefault="00102508">
      <w:pPr>
        <w:pStyle w:val="Testonotaapidipagina"/>
      </w:pPr>
      <w:r>
        <w:rPr>
          <w:rStyle w:val="Rimandonotaapidipagina"/>
        </w:rPr>
        <w:footnoteRef/>
      </w:r>
      <w:r>
        <w:t xml:space="preserve"> (97), </w:t>
      </w:r>
      <w:r>
        <w:rPr>
          <w:i/>
        </w:rPr>
        <w:t xml:space="preserve">Ibidem, </w:t>
      </w:r>
      <w:r>
        <w:t>t. XVIII, col. 284.</w:t>
      </w:r>
    </w:p>
  </w:footnote>
  <w:footnote w:id="6">
    <w:p w:rsidR="002F39E7" w:rsidRPr="002F39E7" w:rsidRDefault="002F39E7">
      <w:pPr>
        <w:pStyle w:val="Testonotaapidipagina"/>
      </w:pPr>
      <w:r>
        <w:rPr>
          <w:rStyle w:val="Rimandonotaapidipagina"/>
        </w:rPr>
        <w:footnoteRef/>
      </w:r>
      <w:r>
        <w:t xml:space="preserve"> (98), </w:t>
      </w:r>
      <w:r>
        <w:rPr>
          <w:i/>
        </w:rPr>
        <w:t xml:space="preserve">Ibidem, </w:t>
      </w:r>
      <w:r>
        <w:t>t. XXII, col. 280.</w:t>
      </w:r>
    </w:p>
  </w:footnote>
  <w:footnote w:id="7">
    <w:p w:rsidR="002F39E7" w:rsidRPr="002F39E7" w:rsidRDefault="002F39E7">
      <w:pPr>
        <w:pStyle w:val="Testonotaapidipagina"/>
        <w:rPr>
          <w:i/>
        </w:rPr>
      </w:pPr>
      <w:r>
        <w:rPr>
          <w:rStyle w:val="Rimandonotaapidipagina"/>
        </w:rPr>
        <w:footnoteRef/>
      </w:r>
      <w:r>
        <w:t xml:space="preserve"> </w:t>
      </w:r>
      <w:r w:rsidR="00B65894">
        <w:t xml:space="preserve">(99), </w:t>
      </w:r>
      <w:r>
        <w:t xml:space="preserve">A. S. VEN., </w:t>
      </w:r>
      <w:r>
        <w:rPr>
          <w:i/>
        </w:rPr>
        <w:t xml:space="preserve">Avogaria di Comun, </w:t>
      </w:r>
      <w:r w:rsidRPr="002F39E7">
        <w:t>reg. matrimoni, cit. pag. 211v.</w:t>
      </w:r>
    </w:p>
  </w:footnote>
  <w:footnote w:id="8">
    <w:p w:rsidR="00B65894" w:rsidRDefault="00B65894">
      <w:pPr>
        <w:pStyle w:val="Testonotaapidipagina"/>
      </w:pPr>
      <w:r>
        <w:rPr>
          <w:rStyle w:val="Rimandonotaapidipagina"/>
        </w:rPr>
        <w:footnoteRef/>
      </w:r>
      <w:r>
        <w:t xml:space="preserve"> (100), M. SANUDO,</w:t>
      </w:r>
      <w:r w:rsidRPr="00B65894">
        <w:rPr>
          <w:i/>
        </w:rPr>
        <w:t xml:space="preserve"> Diari</w:t>
      </w:r>
      <w:r>
        <w:t>, citt., t. XIII, coll. 184-225.</w:t>
      </w:r>
    </w:p>
  </w:footnote>
  <w:footnote w:id="9">
    <w:p w:rsidR="00B65894" w:rsidRPr="00B65894" w:rsidRDefault="00B65894">
      <w:pPr>
        <w:pStyle w:val="Testonotaapidipagina"/>
      </w:pPr>
      <w:r>
        <w:rPr>
          <w:rStyle w:val="Rimandonotaapidipagina"/>
        </w:rPr>
        <w:footnoteRef/>
      </w:r>
      <w:r>
        <w:t xml:space="preserve"> (101), </w:t>
      </w:r>
      <w:r>
        <w:rPr>
          <w:i/>
        </w:rPr>
        <w:t xml:space="preserve">Ibidem, </w:t>
      </w:r>
      <w:r>
        <w:t>t. XX, coll. 165-468.</w:t>
      </w:r>
    </w:p>
  </w:footnote>
  <w:footnote w:id="10">
    <w:p w:rsidR="00B65894" w:rsidRPr="00B65894" w:rsidRDefault="00B65894">
      <w:pPr>
        <w:pStyle w:val="Testonotaapidipagina"/>
      </w:pPr>
      <w:r>
        <w:rPr>
          <w:rStyle w:val="Rimandonotaapidipagina"/>
        </w:rPr>
        <w:footnoteRef/>
      </w:r>
      <w:r>
        <w:t xml:space="preserve"> (102), </w:t>
      </w:r>
      <w:r w:rsidR="00B14E99">
        <w:rPr>
          <w:i/>
        </w:rPr>
        <w:t>I</w:t>
      </w:r>
      <w:r>
        <w:rPr>
          <w:i/>
        </w:rPr>
        <w:t xml:space="preserve">bidem, </w:t>
      </w:r>
      <w:r>
        <w:t>t. XX, coll. 553-554-555.</w:t>
      </w:r>
    </w:p>
  </w:footnote>
  <w:footnote w:id="11">
    <w:p w:rsidR="00B14E99" w:rsidRPr="00B14E99" w:rsidRDefault="00B14E99">
      <w:pPr>
        <w:pStyle w:val="Testonotaapidipagina"/>
      </w:pPr>
      <w:r>
        <w:rPr>
          <w:rStyle w:val="Rimandonotaapidipagina"/>
        </w:rPr>
        <w:footnoteRef/>
      </w:r>
      <w:r>
        <w:t xml:space="preserve"> (103), </w:t>
      </w:r>
      <w:r>
        <w:rPr>
          <w:i/>
        </w:rPr>
        <w:t xml:space="preserve">Ibidem, </w:t>
      </w:r>
      <w:r>
        <w:t>t. XXIII, col. 5.</w:t>
      </w:r>
    </w:p>
  </w:footnote>
  <w:footnote w:id="12">
    <w:p w:rsidR="00B14E99" w:rsidRPr="00B14E99" w:rsidRDefault="00B14E99">
      <w:pPr>
        <w:pStyle w:val="Testonotaapidipagina"/>
      </w:pPr>
      <w:r>
        <w:rPr>
          <w:rStyle w:val="Rimandonotaapidipagina"/>
        </w:rPr>
        <w:footnoteRef/>
      </w:r>
      <w:r>
        <w:t xml:space="preserve"> (104), </w:t>
      </w:r>
      <w:r>
        <w:rPr>
          <w:i/>
        </w:rPr>
        <w:t xml:space="preserve">Ibidem, </w:t>
      </w:r>
      <w:r>
        <w:t>t. XIV, coll. 225, 236, 323, 330, 467, 576.</w:t>
      </w:r>
    </w:p>
  </w:footnote>
  <w:footnote w:id="13">
    <w:p w:rsidR="00B14E99" w:rsidRPr="00B14E99" w:rsidRDefault="00B14E99">
      <w:pPr>
        <w:pStyle w:val="Testonotaapidipagina"/>
      </w:pPr>
      <w:r>
        <w:rPr>
          <w:rStyle w:val="Rimandonotaapidipagina"/>
        </w:rPr>
        <w:footnoteRef/>
      </w:r>
      <w:r>
        <w:t xml:space="preserve"> (105), </w:t>
      </w:r>
      <w:r>
        <w:rPr>
          <w:i/>
        </w:rPr>
        <w:t xml:space="preserve">Ibidem, </w:t>
      </w:r>
      <w:r>
        <w:t>t. XVI, coll. 419, 442.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41"/>
    <w:rsid w:val="00102508"/>
    <w:rsid w:val="002F39E7"/>
    <w:rsid w:val="00577794"/>
    <w:rsid w:val="007F0C0D"/>
    <w:rsid w:val="00B14E99"/>
    <w:rsid w:val="00B65894"/>
    <w:rsid w:val="00E15404"/>
    <w:rsid w:val="00EB4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F0C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F0C0D"/>
    <w:rPr>
      <w:sz w:val="20"/>
      <w:szCs w:val="20"/>
    </w:rPr>
  </w:style>
  <w:style w:type="character" w:styleId="Rimandonotaapidipagina">
    <w:name w:val="footnote reference"/>
    <w:basedOn w:val="Carpredefinitoparagrafo"/>
    <w:uiPriority w:val="99"/>
    <w:semiHidden/>
    <w:unhideWhenUsed/>
    <w:rsid w:val="007F0C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F0C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F0C0D"/>
    <w:rPr>
      <w:sz w:val="20"/>
      <w:szCs w:val="20"/>
    </w:rPr>
  </w:style>
  <w:style w:type="character" w:styleId="Rimandonotaapidipagina">
    <w:name w:val="footnote reference"/>
    <w:basedOn w:val="Carpredefinitoparagrafo"/>
    <w:uiPriority w:val="99"/>
    <w:semiHidden/>
    <w:unhideWhenUsed/>
    <w:rsid w:val="007F0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ECAD2-F49E-406C-AFF9-5B8ED035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533</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2020-06-20T07:35:00Z</dcterms:created>
  <dcterms:modified xsi:type="dcterms:W3CDTF">2020-06-20T08:30:00Z</dcterms:modified>
</cp:coreProperties>
</file>