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CE" w:rsidRDefault="00B617DE" w:rsidP="00B617DE">
      <w:pPr>
        <w:ind w:right="1133"/>
        <w:jc w:val="right"/>
        <w:rPr>
          <w:sz w:val="28"/>
          <w:szCs w:val="28"/>
        </w:rPr>
      </w:pPr>
      <w:r>
        <w:rPr>
          <w:sz w:val="28"/>
          <w:szCs w:val="28"/>
        </w:rPr>
        <w:t>p</w:t>
      </w:r>
      <w:r w:rsidRPr="00B617DE">
        <w:rPr>
          <w:sz w:val="28"/>
          <w:szCs w:val="28"/>
        </w:rPr>
        <w:t>ag. 111</w:t>
      </w:r>
    </w:p>
    <w:p w:rsidR="00B617DE" w:rsidRPr="0063748F" w:rsidRDefault="00B617DE" w:rsidP="0063748F">
      <w:pPr>
        <w:ind w:right="1133"/>
        <w:jc w:val="center"/>
        <w:rPr>
          <w:b/>
          <w:sz w:val="28"/>
          <w:szCs w:val="28"/>
        </w:rPr>
      </w:pPr>
      <w:r w:rsidRPr="0063748F">
        <w:rPr>
          <w:b/>
          <w:sz w:val="28"/>
          <w:szCs w:val="28"/>
        </w:rPr>
        <w:t>“</w:t>
      </w:r>
      <w:r w:rsidR="0063748F">
        <w:rPr>
          <w:b/>
          <w:sz w:val="28"/>
          <w:szCs w:val="28"/>
        </w:rPr>
        <w:t>SAN GIROLAMO MIANI”</w:t>
      </w:r>
    </w:p>
    <w:p w:rsidR="00B617DE" w:rsidRPr="0063748F" w:rsidRDefault="0063748F" w:rsidP="0063748F">
      <w:pPr>
        <w:ind w:right="1133"/>
        <w:jc w:val="center"/>
        <w:rPr>
          <w:b/>
          <w:sz w:val="28"/>
          <w:szCs w:val="28"/>
        </w:rPr>
      </w:pPr>
      <w:r>
        <w:rPr>
          <w:b/>
          <w:sz w:val="28"/>
          <w:szCs w:val="28"/>
        </w:rPr>
        <w:t>CO</w:t>
      </w:r>
      <w:r w:rsidR="00B617DE" w:rsidRPr="0063748F">
        <w:rPr>
          <w:b/>
          <w:sz w:val="28"/>
          <w:szCs w:val="28"/>
        </w:rPr>
        <w:t>NTR</w:t>
      </w:r>
      <w:r>
        <w:rPr>
          <w:b/>
          <w:sz w:val="28"/>
          <w:szCs w:val="28"/>
        </w:rPr>
        <w:t>IBUTO</w:t>
      </w:r>
      <w:r w:rsidR="00B617DE" w:rsidRPr="0063748F">
        <w:rPr>
          <w:b/>
          <w:sz w:val="28"/>
          <w:szCs w:val="28"/>
        </w:rPr>
        <w:t xml:space="preserve"> ALLA C</w:t>
      </w:r>
      <w:r>
        <w:rPr>
          <w:b/>
          <w:sz w:val="28"/>
          <w:szCs w:val="28"/>
        </w:rPr>
        <w:t xml:space="preserve">ONOSCENZA </w:t>
      </w:r>
      <w:r w:rsidR="00B617DE" w:rsidRPr="0063748F">
        <w:rPr>
          <w:b/>
          <w:sz w:val="28"/>
          <w:szCs w:val="28"/>
        </w:rPr>
        <w:t>DELLA P</w:t>
      </w:r>
      <w:r>
        <w:rPr>
          <w:b/>
          <w:sz w:val="28"/>
          <w:szCs w:val="28"/>
        </w:rPr>
        <w:t>RERIFORMA CATTOLICA</w:t>
      </w:r>
      <w:r w:rsidR="00B617DE" w:rsidRPr="0063748F">
        <w:rPr>
          <w:b/>
          <w:sz w:val="28"/>
          <w:szCs w:val="28"/>
        </w:rPr>
        <w:t>.</w:t>
      </w:r>
    </w:p>
    <w:p w:rsidR="0063748F" w:rsidRDefault="0063748F" w:rsidP="00B617DE">
      <w:pPr>
        <w:ind w:right="1133"/>
        <w:jc w:val="both"/>
        <w:rPr>
          <w:b/>
          <w:sz w:val="28"/>
          <w:szCs w:val="28"/>
        </w:rPr>
      </w:pPr>
    </w:p>
    <w:p w:rsidR="00B617DE" w:rsidRDefault="00B617DE" w:rsidP="0063748F">
      <w:pPr>
        <w:ind w:right="1133"/>
        <w:jc w:val="center"/>
        <w:rPr>
          <w:b/>
          <w:sz w:val="28"/>
          <w:szCs w:val="28"/>
        </w:rPr>
      </w:pPr>
      <w:r w:rsidRPr="0063748F">
        <w:rPr>
          <w:b/>
          <w:sz w:val="28"/>
          <w:szCs w:val="28"/>
        </w:rPr>
        <w:t xml:space="preserve">CAPITOLO T </w:t>
      </w:r>
      <w:r w:rsidR="0063748F">
        <w:rPr>
          <w:b/>
          <w:sz w:val="28"/>
          <w:szCs w:val="28"/>
        </w:rPr>
        <w:t>ERZO</w:t>
      </w:r>
    </w:p>
    <w:p w:rsidR="0063748F" w:rsidRPr="0063748F" w:rsidRDefault="0063748F" w:rsidP="0063748F">
      <w:pPr>
        <w:ind w:right="1133"/>
        <w:jc w:val="center"/>
        <w:rPr>
          <w:b/>
          <w:sz w:val="28"/>
          <w:szCs w:val="28"/>
        </w:rPr>
      </w:pPr>
    </w:p>
    <w:p w:rsidR="00B617DE" w:rsidRPr="0063748F" w:rsidRDefault="00B617DE" w:rsidP="0063748F">
      <w:pPr>
        <w:ind w:right="1133"/>
        <w:jc w:val="center"/>
        <w:rPr>
          <w:b/>
          <w:sz w:val="28"/>
          <w:szCs w:val="28"/>
        </w:rPr>
      </w:pPr>
      <w:r w:rsidRPr="0063748F">
        <w:rPr>
          <w:b/>
          <w:sz w:val="28"/>
          <w:szCs w:val="28"/>
        </w:rPr>
        <w:t>UNA MISSIONE DI CARITÀ</w:t>
      </w:r>
    </w:p>
    <w:p w:rsidR="00B617DE" w:rsidRPr="0063748F" w:rsidRDefault="00B617DE" w:rsidP="0063748F">
      <w:pPr>
        <w:ind w:right="1133"/>
        <w:jc w:val="center"/>
        <w:rPr>
          <w:b/>
          <w:i/>
          <w:sz w:val="28"/>
          <w:szCs w:val="28"/>
        </w:rPr>
      </w:pPr>
      <w:r w:rsidRPr="0063748F">
        <w:rPr>
          <w:b/>
          <w:i/>
          <w:sz w:val="28"/>
          <w:szCs w:val="28"/>
        </w:rPr>
        <w:t>(Primavera 1532- Estate 1534)</w:t>
      </w:r>
    </w:p>
    <w:p w:rsidR="0063748F" w:rsidRDefault="0063748F" w:rsidP="00B617DE">
      <w:pPr>
        <w:ind w:right="1133"/>
        <w:jc w:val="both"/>
        <w:rPr>
          <w:b/>
          <w:sz w:val="28"/>
          <w:szCs w:val="28"/>
        </w:rPr>
      </w:pPr>
    </w:p>
    <w:p w:rsidR="00B617DE" w:rsidRPr="0063748F" w:rsidRDefault="00B617DE" w:rsidP="00B617DE">
      <w:pPr>
        <w:ind w:right="1133"/>
        <w:jc w:val="both"/>
        <w:rPr>
          <w:b/>
          <w:sz w:val="28"/>
          <w:szCs w:val="28"/>
          <w:u w:val="single"/>
        </w:rPr>
      </w:pPr>
      <w:r w:rsidRPr="0063748F">
        <w:rPr>
          <w:b/>
          <w:sz w:val="28"/>
          <w:szCs w:val="28"/>
          <w:u w:val="single"/>
        </w:rPr>
        <w:t>1. Verona e Brescia.</w:t>
      </w:r>
    </w:p>
    <w:p w:rsidR="00B617DE" w:rsidRPr="00B617DE" w:rsidRDefault="0063748F" w:rsidP="00B617DE">
      <w:pPr>
        <w:ind w:right="1133"/>
        <w:jc w:val="both"/>
        <w:rPr>
          <w:sz w:val="28"/>
          <w:szCs w:val="28"/>
        </w:rPr>
      </w:pPr>
      <w:r>
        <w:rPr>
          <w:sz w:val="28"/>
          <w:szCs w:val="28"/>
        </w:rPr>
        <w:tab/>
      </w:r>
      <w:r w:rsidR="00B617DE" w:rsidRPr="00B617DE">
        <w:rPr>
          <w:sz w:val="28"/>
          <w:szCs w:val="28"/>
        </w:rPr>
        <w:t xml:space="preserve">Girolamo parte da Venezia </w:t>
      </w:r>
      <w:r>
        <w:rPr>
          <w:sz w:val="28"/>
          <w:szCs w:val="28"/>
        </w:rPr>
        <w:t>per la sua missione probabilmen</w:t>
      </w:r>
      <w:r w:rsidR="00B617DE" w:rsidRPr="00B617DE">
        <w:rPr>
          <w:sz w:val="28"/>
          <w:szCs w:val="28"/>
        </w:rPr>
        <w:t>te nel mese di aprile 1532</w:t>
      </w:r>
      <w:r>
        <w:rPr>
          <w:rStyle w:val="Rimandonotaapidipagina"/>
          <w:sz w:val="28"/>
          <w:szCs w:val="28"/>
        </w:rPr>
        <w:footnoteReference w:id="1"/>
      </w:r>
      <w:r w:rsidR="00B617DE" w:rsidRPr="00B617DE">
        <w:rPr>
          <w:sz w:val="28"/>
          <w:szCs w:val="28"/>
        </w:rPr>
        <w:t>. Fu certamente il Carafa a dargliene</w:t>
      </w:r>
      <w:r w:rsidR="00F374AB">
        <w:rPr>
          <w:sz w:val="28"/>
          <w:szCs w:val="28"/>
        </w:rPr>
        <w:t xml:space="preserve"> </w:t>
      </w:r>
      <w:r w:rsidR="00B617DE" w:rsidRPr="00B617DE">
        <w:rPr>
          <w:sz w:val="28"/>
          <w:szCs w:val="28"/>
        </w:rPr>
        <w:t>l</w:t>
      </w:r>
      <w:r w:rsidR="00F374AB">
        <w:rPr>
          <w:sz w:val="28"/>
          <w:szCs w:val="28"/>
        </w:rPr>
        <w:t>’</w:t>
      </w:r>
      <w:r w:rsidR="00B617DE" w:rsidRPr="00B617DE">
        <w:rPr>
          <w:sz w:val="28"/>
          <w:szCs w:val="28"/>
        </w:rPr>
        <w:t>ordine</w:t>
      </w:r>
      <w:r w:rsidR="00F374AB">
        <w:rPr>
          <w:rStyle w:val="Rimandonotaapidipagina"/>
          <w:sz w:val="28"/>
          <w:szCs w:val="28"/>
        </w:rPr>
        <w:footnoteReference w:id="2"/>
      </w:r>
      <w:r w:rsidR="00B617DE" w:rsidRPr="00B617DE">
        <w:rPr>
          <w:sz w:val="28"/>
          <w:szCs w:val="28"/>
        </w:rPr>
        <w:t>. “Si partì da quella città senza alcuna cosa di questo</w:t>
      </w:r>
      <w:r w:rsidR="00F374AB">
        <w:rPr>
          <w:sz w:val="28"/>
          <w:szCs w:val="28"/>
        </w:rPr>
        <w:t xml:space="preserve"> </w:t>
      </w:r>
      <w:r w:rsidR="00B617DE" w:rsidRPr="00B617DE">
        <w:rPr>
          <w:sz w:val="28"/>
          <w:szCs w:val="28"/>
        </w:rPr>
        <w:t>mondo, ma solamente col povero vestito”</w:t>
      </w:r>
      <w:r w:rsidR="00F374AB">
        <w:rPr>
          <w:rStyle w:val="Rimandonotaapidipagina"/>
          <w:sz w:val="28"/>
          <w:szCs w:val="28"/>
        </w:rPr>
        <w:footnoteReference w:id="3"/>
      </w:r>
      <w:r w:rsidR="00B617DE" w:rsidRPr="00B617DE">
        <w:rPr>
          <w:sz w:val="28"/>
          <w:szCs w:val="28"/>
        </w:rPr>
        <w:t>.</w:t>
      </w:r>
    </w:p>
    <w:p w:rsidR="00B617DE" w:rsidRDefault="00F374AB" w:rsidP="00B617DE">
      <w:pPr>
        <w:ind w:right="1133"/>
        <w:jc w:val="both"/>
        <w:rPr>
          <w:sz w:val="28"/>
          <w:szCs w:val="28"/>
        </w:rPr>
      </w:pPr>
      <w:r>
        <w:rPr>
          <w:sz w:val="28"/>
          <w:szCs w:val="28"/>
        </w:rPr>
        <w:tab/>
      </w:r>
      <w:r w:rsidR="00B617DE" w:rsidRPr="00B617DE">
        <w:rPr>
          <w:sz w:val="28"/>
          <w:szCs w:val="28"/>
        </w:rPr>
        <w:t>Durante il viaggio sostò a Padova, Vicenza, Verona, Brescia.</w:t>
      </w:r>
      <w:r>
        <w:rPr>
          <w:sz w:val="28"/>
          <w:szCs w:val="28"/>
        </w:rPr>
        <w:t xml:space="preserve"> </w:t>
      </w:r>
      <w:r w:rsidR="00B617DE" w:rsidRPr="00B617DE">
        <w:rPr>
          <w:sz w:val="28"/>
          <w:szCs w:val="28"/>
        </w:rPr>
        <w:t>Forse il Carafa, com</w:t>
      </w:r>
      <w:r>
        <w:rPr>
          <w:sz w:val="28"/>
          <w:szCs w:val="28"/>
        </w:rPr>
        <w:t>’</w:t>
      </w:r>
      <w:r w:rsidR="00B617DE" w:rsidRPr="00B617DE">
        <w:rPr>
          <w:sz w:val="28"/>
          <w:szCs w:val="28"/>
        </w:rPr>
        <w:t>era sua abitudine lo incaric</w:t>
      </w:r>
      <w:r>
        <w:rPr>
          <w:sz w:val="28"/>
          <w:szCs w:val="28"/>
        </w:rPr>
        <w:t>ò</w:t>
      </w:r>
      <w:r w:rsidR="00B617DE" w:rsidRPr="00B617DE">
        <w:rPr>
          <w:sz w:val="28"/>
          <w:szCs w:val="28"/>
        </w:rPr>
        <w:t xml:space="preserve"> di portare</w:t>
      </w:r>
      <w:r>
        <w:rPr>
          <w:sz w:val="28"/>
          <w:szCs w:val="28"/>
        </w:rPr>
        <w:t xml:space="preserve"> </w:t>
      </w:r>
      <w:r w:rsidR="00B617DE" w:rsidRPr="00B617DE">
        <w:rPr>
          <w:sz w:val="28"/>
          <w:szCs w:val="28"/>
        </w:rPr>
        <w:t>qualche lettera ai fratelli del Divino Amore delle città che avrebbe dovuto attraversarei</w:t>
      </w:r>
      <w:r>
        <w:rPr>
          <w:rStyle w:val="Rimandonotaapidipagina"/>
          <w:sz w:val="28"/>
          <w:szCs w:val="28"/>
        </w:rPr>
        <w:footnoteReference w:id="4"/>
      </w:r>
      <w:r w:rsidR="00B617DE" w:rsidRPr="00B617DE">
        <w:rPr>
          <w:sz w:val="28"/>
          <w:szCs w:val="28"/>
        </w:rPr>
        <w:t>.</w:t>
      </w:r>
    </w:p>
    <w:p w:rsidR="00B617DE" w:rsidRPr="00B617DE" w:rsidRDefault="00F374AB" w:rsidP="00B617DE">
      <w:pPr>
        <w:ind w:right="1133"/>
        <w:jc w:val="both"/>
        <w:rPr>
          <w:sz w:val="28"/>
          <w:szCs w:val="28"/>
        </w:rPr>
      </w:pPr>
      <w:r>
        <w:rPr>
          <w:sz w:val="28"/>
          <w:szCs w:val="28"/>
        </w:rPr>
        <w:tab/>
      </w:r>
      <w:r w:rsidR="00B617DE" w:rsidRPr="00B617DE">
        <w:rPr>
          <w:sz w:val="28"/>
          <w:szCs w:val="28"/>
        </w:rPr>
        <w:t>Alloggiò negli ospedali degli Incurabili, eretti e governati</w:t>
      </w:r>
      <w:r>
        <w:rPr>
          <w:sz w:val="28"/>
          <w:szCs w:val="28"/>
        </w:rPr>
        <w:t xml:space="preserve"> </w:t>
      </w:r>
      <w:r w:rsidR="00B617DE" w:rsidRPr="00B617DE">
        <w:rPr>
          <w:sz w:val="28"/>
          <w:szCs w:val="28"/>
        </w:rPr>
        <w:t>nelle varie città dal Divino Amore. Qui prest</w:t>
      </w:r>
      <w:r>
        <w:rPr>
          <w:sz w:val="28"/>
          <w:szCs w:val="28"/>
        </w:rPr>
        <w:t>ò</w:t>
      </w:r>
      <w:r w:rsidR="00B617DE" w:rsidRPr="00B617DE">
        <w:rPr>
          <w:sz w:val="28"/>
          <w:szCs w:val="28"/>
        </w:rPr>
        <w:t xml:space="preserve"> le sue cure ai</w:t>
      </w:r>
    </w:p>
    <w:p w:rsidR="00B617DE" w:rsidRDefault="00B617DE" w:rsidP="00B617DE">
      <w:pPr>
        <w:ind w:right="1133"/>
        <w:jc w:val="right"/>
        <w:rPr>
          <w:sz w:val="28"/>
          <w:szCs w:val="28"/>
        </w:rPr>
      </w:pPr>
      <w:r>
        <w:rPr>
          <w:sz w:val="28"/>
          <w:szCs w:val="28"/>
        </w:rPr>
        <w:t>pag. 112</w:t>
      </w:r>
    </w:p>
    <w:p w:rsidR="004F331E" w:rsidRPr="00F374AB" w:rsidRDefault="004F331E" w:rsidP="004F331E">
      <w:pPr>
        <w:ind w:right="1133"/>
        <w:jc w:val="both"/>
        <w:rPr>
          <w:sz w:val="28"/>
          <w:szCs w:val="28"/>
        </w:rPr>
      </w:pPr>
      <w:r w:rsidRPr="00F374AB">
        <w:rPr>
          <w:sz w:val="28"/>
          <w:szCs w:val="28"/>
        </w:rPr>
        <w:lastRenderedPageBreak/>
        <w:t>malati e ricoverati d</w:t>
      </w:r>
      <w:r w:rsidR="00F374AB" w:rsidRPr="00F374AB">
        <w:rPr>
          <w:sz w:val="28"/>
          <w:szCs w:val="28"/>
        </w:rPr>
        <w:t>’</w:t>
      </w:r>
      <w:r w:rsidRPr="00F374AB">
        <w:rPr>
          <w:sz w:val="28"/>
          <w:szCs w:val="28"/>
        </w:rPr>
        <w:t>ogni genere, come era solito agli Incurabili</w:t>
      </w:r>
      <w:r w:rsidR="00F374AB" w:rsidRPr="00F374AB">
        <w:rPr>
          <w:sz w:val="28"/>
          <w:szCs w:val="28"/>
        </w:rPr>
        <w:t xml:space="preserve"> </w:t>
      </w:r>
      <w:r w:rsidRPr="00F374AB">
        <w:rPr>
          <w:sz w:val="28"/>
          <w:szCs w:val="28"/>
        </w:rPr>
        <w:t>di Venezia, ricevendone per carità il cibo, e certamente tenne</w:t>
      </w:r>
      <w:r w:rsidR="00F374AB" w:rsidRPr="00F374AB">
        <w:rPr>
          <w:sz w:val="28"/>
          <w:szCs w:val="28"/>
        </w:rPr>
        <w:t xml:space="preserve"> </w:t>
      </w:r>
      <w:r w:rsidRPr="00F374AB">
        <w:rPr>
          <w:sz w:val="28"/>
          <w:szCs w:val="28"/>
        </w:rPr>
        <w:t>alcuni colloqui coi fratelli del Divino Amore.</w:t>
      </w:r>
    </w:p>
    <w:p w:rsidR="004F331E" w:rsidRPr="00F374AB" w:rsidRDefault="00F374AB" w:rsidP="004F331E">
      <w:pPr>
        <w:ind w:right="1133"/>
        <w:jc w:val="both"/>
        <w:rPr>
          <w:sz w:val="28"/>
          <w:szCs w:val="28"/>
        </w:rPr>
      </w:pPr>
      <w:r w:rsidRPr="00F374AB">
        <w:rPr>
          <w:sz w:val="28"/>
          <w:szCs w:val="28"/>
        </w:rPr>
        <w:tab/>
      </w:r>
      <w:r w:rsidR="004F331E" w:rsidRPr="00F374AB">
        <w:rPr>
          <w:sz w:val="28"/>
          <w:szCs w:val="28"/>
        </w:rPr>
        <w:t>Girolamo, del resto, non era sconosciuto in queste città</w:t>
      </w:r>
      <w:r w:rsidR="00D97F27">
        <w:rPr>
          <w:rStyle w:val="Rimandonotaapidipagina"/>
          <w:sz w:val="28"/>
          <w:szCs w:val="28"/>
        </w:rPr>
        <w:footnoteReference w:id="5"/>
      </w:r>
      <w:r w:rsidR="00D97F27">
        <w:rPr>
          <w:sz w:val="28"/>
          <w:szCs w:val="28"/>
        </w:rPr>
        <w:t>.</w:t>
      </w:r>
    </w:p>
    <w:p w:rsidR="004F331E" w:rsidRPr="00F374AB" w:rsidRDefault="00F374AB" w:rsidP="004F331E">
      <w:pPr>
        <w:ind w:right="1133"/>
        <w:jc w:val="both"/>
        <w:rPr>
          <w:sz w:val="28"/>
          <w:szCs w:val="28"/>
        </w:rPr>
      </w:pPr>
      <w:r w:rsidRPr="00F374AB">
        <w:rPr>
          <w:sz w:val="28"/>
          <w:szCs w:val="28"/>
        </w:rPr>
        <w:tab/>
      </w:r>
      <w:r w:rsidR="004F331E" w:rsidRPr="00F374AB">
        <w:rPr>
          <w:sz w:val="28"/>
          <w:szCs w:val="28"/>
        </w:rPr>
        <w:t>A Vicenza visit</w:t>
      </w:r>
      <w:r w:rsidRPr="00F374AB">
        <w:rPr>
          <w:sz w:val="28"/>
          <w:szCs w:val="28"/>
        </w:rPr>
        <w:t>ò</w:t>
      </w:r>
      <w:r w:rsidR="004F331E" w:rsidRPr="00F374AB">
        <w:rPr>
          <w:sz w:val="28"/>
          <w:szCs w:val="28"/>
        </w:rPr>
        <w:t xml:space="preserve"> probabilmente Giangiorgio e Bianca Trissino, amici di casa dei Miani</w:t>
      </w:r>
      <w:r w:rsidR="00D97F27">
        <w:rPr>
          <w:rStyle w:val="Rimandonotaapidipagina"/>
          <w:sz w:val="28"/>
          <w:szCs w:val="28"/>
        </w:rPr>
        <w:footnoteReference w:id="6"/>
      </w:r>
      <w:r w:rsidR="004F331E" w:rsidRPr="00F374AB">
        <w:rPr>
          <w:sz w:val="28"/>
          <w:szCs w:val="28"/>
        </w:rPr>
        <w:t>.</w:t>
      </w:r>
    </w:p>
    <w:p w:rsidR="00D97F27" w:rsidRDefault="00D97F27" w:rsidP="004F331E">
      <w:pPr>
        <w:ind w:right="1133"/>
        <w:jc w:val="both"/>
        <w:rPr>
          <w:sz w:val="28"/>
          <w:szCs w:val="28"/>
        </w:rPr>
      </w:pPr>
      <w:r>
        <w:rPr>
          <w:sz w:val="28"/>
          <w:szCs w:val="28"/>
        </w:rPr>
        <w:tab/>
      </w:r>
      <w:r w:rsidR="004F331E" w:rsidRPr="00F374AB">
        <w:rPr>
          <w:sz w:val="28"/>
          <w:szCs w:val="28"/>
        </w:rPr>
        <w:t>A Verona c</w:t>
      </w:r>
      <w:r>
        <w:rPr>
          <w:sz w:val="28"/>
          <w:szCs w:val="28"/>
        </w:rPr>
        <w:t>’</w:t>
      </w:r>
      <w:r w:rsidR="004F331E" w:rsidRPr="00F374AB">
        <w:rPr>
          <w:sz w:val="28"/>
          <w:szCs w:val="28"/>
        </w:rPr>
        <w:t>era il Giberti, che di Girolamo era “tra i maggiori famigliari et amici”</w:t>
      </w:r>
      <w:r w:rsidR="00CB6B59">
        <w:rPr>
          <w:rStyle w:val="Rimandonotaapidipagina"/>
          <w:sz w:val="28"/>
          <w:szCs w:val="28"/>
        </w:rPr>
        <w:footnoteReference w:id="7"/>
      </w:r>
      <w:r w:rsidR="004F331E" w:rsidRPr="00F374AB">
        <w:rPr>
          <w:sz w:val="28"/>
          <w:szCs w:val="28"/>
        </w:rPr>
        <w:t>. Assieme alla riforma del clero e della</w:t>
      </w:r>
      <w:r>
        <w:rPr>
          <w:sz w:val="28"/>
          <w:szCs w:val="28"/>
        </w:rPr>
        <w:t xml:space="preserve"> </w:t>
      </w:r>
      <w:r w:rsidR="004F331E" w:rsidRPr="00F374AB">
        <w:rPr>
          <w:sz w:val="28"/>
          <w:szCs w:val="28"/>
        </w:rPr>
        <w:t>vita religiosa nella sua diocesi, che aveva intrapreso con energia,</w:t>
      </w:r>
      <w:r>
        <w:rPr>
          <w:sz w:val="28"/>
          <w:szCs w:val="28"/>
        </w:rPr>
        <w:t xml:space="preserve"> </w:t>
      </w:r>
      <w:r w:rsidR="004F331E" w:rsidRPr="00F374AB">
        <w:rPr>
          <w:sz w:val="28"/>
          <w:szCs w:val="28"/>
        </w:rPr>
        <w:t>il Giberti aveva dato un partico</w:t>
      </w:r>
      <w:r>
        <w:rPr>
          <w:sz w:val="28"/>
          <w:szCs w:val="28"/>
        </w:rPr>
        <w:t>lare impulso alle opere di assi</w:t>
      </w:r>
      <w:r w:rsidR="004F331E" w:rsidRPr="00F374AB">
        <w:rPr>
          <w:sz w:val="28"/>
          <w:szCs w:val="28"/>
        </w:rPr>
        <w:t xml:space="preserve">stenza. Così ampliò e provvide del necessario </w:t>
      </w:r>
      <w:r>
        <w:rPr>
          <w:sz w:val="28"/>
          <w:szCs w:val="28"/>
        </w:rPr>
        <w:t>l’</w:t>
      </w:r>
      <w:r w:rsidR="004F331E" w:rsidRPr="00F374AB">
        <w:rPr>
          <w:sz w:val="28"/>
          <w:szCs w:val="28"/>
        </w:rPr>
        <w:t>ospedale della</w:t>
      </w:r>
      <w:r>
        <w:rPr>
          <w:sz w:val="28"/>
          <w:szCs w:val="28"/>
        </w:rPr>
        <w:t xml:space="preserve"> </w:t>
      </w:r>
      <w:r w:rsidR="004F331E" w:rsidRPr="00F374AB">
        <w:rPr>
          <w:sz w:val="28"/>
          <w:szCs w:val="28"/>
        </w:rPr>
        <w:t>Misericordia, già fondato nel 1517. In esso, in seguito alla carestia del 1527, avevano incominciato a ricevere anche bambini</w:t>
      </w:r>
      <w:r>
        <w:rPr>
          <w:sz w:val="28"/>
          <w:szCs w:val="28"/>
        </w:rPr>
        <w:t xml:space="preserve"> </w:t>
      </w:r>
      <w:r w:rsidR="004F331E" w:rsidRPr="00F374AB">
        <w:rPr>
          <w:sz w:val="28"/>
          <w:szCs w:val="28"/>
        </w:rPr>
        <w:t>orfani. Egli volle che i ragazzi raccolti dai sette ai dodici anni, vi</w:t>
      </w:r>
      <w:r>
        <w:rPr>
          <w:sz w:val="28"/>
          <w:szCs w:val="28"/>
        </w:rPr>
        <w:t xml:space="preserve"> </w:t>
      </w:r>
      <w:r w:rsidR="004F331E" w:rsidRPr="00F374AB">
        <w:rPr>
          <w:sz w:val="28"/>
          <w:szCs w:val="28"/>
        </w:rPr>
        <w:t>potessero rimanere fino ai diciotto e vi ricevessero una conveniente formazione professionale. Fondò poi, a sostegno delle</w:t>
      </w:r>
      <w:r>
        <w:rPr>
          <w:sz w:val="28"/>
          <w:szCs w:val="28"/>
        </w:rPr>
        <w:t xml:space="preserve"> </w:t>
      </w:r>
      <w:r w:rsidR="004F331E" w:rsidRPr="00F374AB">
        <w:rPr>
          <w:sz w:val="28"/>
          <w:szCs w:val="28"/>
        </w:rPr>
        <w:t>opere di carità, la “Societas Charitatis".</w:t>
      </w:r>
      <w:r>
        <w:rPr>
          <w:sz w:val="28"/>
          <w:szCs w:val="28"/>
        </w:rPr>
        <w:t xml:space="preserve"> </w:t>
      </w:r>
    </w:p>
    <w:p w:rsidR="00D97F27" w:rsidRDefault="00D97F27" w:rsidP="004F331E">
      <w:pPr>
        <w:ind w:right="1133"/>
        <w:jc w:val="both"/>
        <w:rPr>
          <w:sz w:val="28"/>
          <w:szCs w:val="28"/>
        </w:rPr>
      </w:pPr>
      <w:r>
        <w:rPr>
          <w:sz w:val="28"/>
          <w:szCs w:val="28"/>
        </w:rPr>
        <w:tab/>
      </w:r>
      <w:r w:rsidR="004F331E" w:rsidRPr="00F374AB">
        <w:rPr>
          <w:sz w:val="28"/>
          <w:szCs w:val="28"/>
        </w:rPr>
        <w:t>Secondo i biografi, Girolamo sarebbe stato sollecitato dal</w:t>
      </w:r>
      <w:r>
        <w:rPr>
          <w:sz w:val="28"/>
          <w:szCs w:val="28"/>
        </w:rPr>
        <w:t xml:space="preserve"> </w:t>
      </w:r>
      <w:r w:rsidR="004F331E" w:rsidRPr="00F374AB">
        <w:rPr>
          <w:sz w:val="28"/>
          <w:szCs w:val="28"/>
        </w:rPr>
        <w:t>Giberti a dare un ordinamento più regolare all</w:t>
      </w:r>
      <w:r>
        <w:rPr>
          <w:sz w:val="28"/>
          <w:szCs w:val="28"/>
        </w:rPr>
        <w:t>’</w:t>
      </w:r>
      <w:r w:rsidR="004F331E" w:rsidRPr="00F374AB">
        <w:rPr>
          <w:sz w:val="28"/>
          <w:szCs w:val="28"/>
        </w:rPr>
        <w:t xml:space="preserve">ospedale e ai fanciulli ivi ospitati. Egli avrebbe sviluppato </w:t>
      </w:r>
      <w:r>
        <w:rPr>
          <w:sz w:val="28"/>
          <w:szCs w:val="28"/>
        </w:rPr>
        <w:t>l’</w:t>
      </w:r>
      <w:r w:rsidR="004F331E" w:rsidRPr="00F374AB">
        <w:rPr>
          <w:sz w:val="28"/>
          <w:szCs w:val="28"/>
        </w:rPr>
        <w:t>istituzione, stesi i</w:t>
      </w:r>
      <w:r>
        <w:rPr>
          <w:sz w:val="28"/>
          <w:szCs w:val="28"/>
        </w:rPr>
        <w:t xml:space="preserve"> </w:t>
      </w:r>
      <w:r w:rsidR="004F331E" w:rsidRPr="00F374AB">
        <w:rPr>
          <w:sz w:val="28"/>
          <w:szCs w:val="28"/>
        </w:rPr>
        <w:t xml:space="preserve">“degli ordini", poi, lasciati i fanciulli presso </w:t>
      </w:r>
      <w:r>
        <w:rPr>
          <w:sz w:val="28"/>
          <w:szCs w:val="28"/>
        </w:rPr>
        <w:t>l’</w:t>
      </w:r>
      <w:r w:rsidR="004F331E" w:rsidRPr="00F374AB">
        <w:rPr>
          <w:sz w:val="28"/>
          <w:szCs w:val="28"/>
        </w:rPr>
        <w:t>ospedale</w:t>
      </w:r>
      <w:r>
        <w:rPr>
          <w:sz w:val="28"/>
          <w:szCs w:val="28"/>
        </w:rPr>
        <w:t xml:space="preserve"> </w:t>
      </w:r>
    </w:p>
    <w:p w:rsidR="004F331E" w:rsidRPr="00F374AB" w:rsidRDefault="004F331E" w:rsidP="004F331E">
      <w:pPr>
        <w:ind w:right="1133"/>
        <w:jc w:val="right"/>
        <w:rPr>
          <w:sz w:val="28"/>
          <w:szCs w:val="28"/>
        </w:rPr>
      </w:pPr>
      <w:r w:rsidRPr="00F374AB">
        <w:rPr>
          <w:sz w:val="28"/>
          <w:szCs w:val="28"/>
        </w:rPr>
        <w:t>pag. 113</w:t>
      </w:r>
    </w:p>
    <w:p w:rsidR="004F331E" w:rsidRDefault="004F331E" w:rsidP="004F331E">
      <w:pPr>
        <w:ind w:right="1133"/>
        <w:jc w:val="both"/>
        <w:rPr>
          <w:sz w:val="28"/>
          <w:szCs w:val="28"/>
        </w:rPr>
      </w:pPr>
      <w:r w:rsidRPr="00F374AB">
        <w:rPr>
          <w:sz w:val="28"/>
          <w:szCs w:val="28"/>
        </w:rPr>
        <w:t>della Misericordia, avrebbe trasferito le fanciulle nell</w:t>
      </w:r>
      <w:r w:rsidR="00CB6B59">
        <w:rPr>
          <w:sz w:val="28"/>
          <w:szCs w:val="28"/>
        </w:rPr>
        <w:t>’</w:t>
      </w:r>
      <w:r w:rsidRPr="00F374AB">
        <w:rPr>
          <w:sz w:val="28"/>
          <w:szCs w:val="28"/>
        </w:rPr>
        <w:t>ospizio</w:t>
      </w:r>
      <w:r w:rsidR="00CB6B59">
        <w:rPr>
          <w:sz w:val="28"/>
          <w:szCs w:val="28"/>
        </w:rPr>
        <w:t xml:space="preserve"> </w:t>
      </w:r>
      <w:r w:rsidRPr="00F374AB">
        <w:rPr>
          <w:sz w:val="28"/>
          <w:szCs w:val="28"/>
        </w:rPr>
        <w:t>della Trinità, un ex monastero vallombrosano</w:t>
      </w:r>
      <w:r w:rsidR="00CB6B59">
        <w:rPr>
          <w:rStyle w:val="Rimandonotaapidipagina"/>
          <w:sz w:val="28"/>
          <w:szCs w:val="28"/>
        </w:rPr>
        <w:footnoteReference w:id="8"/>
      </w:r>
      <w:r w:rsidRPr="00F374AB">
        <w:rPr>
          <w:sz w:val="28"/>
          <w:szCs w:val="28"/>
        </w:rPr>
        <w:t>.</w:t>
      </w:r>
    </w:p>
    <w:p w:rsidR="0038045D" w:rsidRDefault="0034366A" w:rsidP="004F331E">
      <w:pPr>
        <w:ind w:right="1133"/>
        <w:jc w:val="both"/>
        <w:rPr>
          <w:sz w:val="28"/>
          <w:szCs w:val="28"/>
        </w:rPr>
      </w:pPr>
      <w:r>
        <w:rPr>
          <w:sz w:val="28"/>
          <w:szCs w:val="28"/>
        </w:rPr>
        <w:lastRenderedPageBreak/>
        <w:t xml:space="preserve">Cfr. </w:t>
      </w:r>
      <w:r w:rsidR="0038045D">
        <w:rPr>
          <w:sz w:val="28"/>
          <w:szCs w:val="28"/>
        </w:rPr>
        <w:t>AGGIUNTA n. 1</w:t>
      </w:r>
    </w:p>
    <w:p w:rsidR="006C0950" w:rsidRPr="006C0950" w:rsidRDefault="006C0950" w:rsidP="006C0950">
      <w:pPr>
        <w:ind w:right="1133"/>
        <w:jc w:val="both"/>
        <w:rPr>
          <w:sz w:val="28"/>
          <w:szCs w:val="28"/>
        </w:rPr>
      </w:pPr>
      <w:r w:rsidRPr="006C0950">
        <w:rPr>
          <w:sz w:val="28"/>
          <w:szCs w:val="28"/>
        </w:rPr>
        <w:t xml:space="preserve">Cfr. SOMASCHA, 2/3, 1977, pag. 142-146, CARLO PELLEGRINI, San Girolamo Miani e i primi Somaschi a Verona, </w:t>
      </w:r>
    </w:p>
    <w:p w:rsidR="006C0950" w:rsidRPr="006C0950" w:rsidRDefault="00651A09" w:rsidP="006C0950">
      <w:pPr>
        <w:ind w:right="1133"/>
        <w:jc w:val="both"/>
        <w:rPr>
          <w:sz w:val="28"/>
          <w:szCs w:val="28"/>
        </w:rPr>
      </w:pPr>
      <w:r>
        <w:rPr>
          <w:sz w:val="28"/>
          <w:szCs w:val="28"/>
        </w:rPr>
        <w:t xml:space="preserve">Cfr. </w:t>
      </w:r>
      <w:r w:rsidR="006C0950" w:rsidRPr="006C0950">
        <w:rPr>
          <w:sz w:val="28"/>
          <w:szCs w:val="28"/>
        </w:rPr>
        <w:t>AGGIUNTA n. 2</w:t>
      </w:r>
    </w:p>
    <w:p w:rsidR="006C0950" w:rsidRDefault="006C0950" w:rsidP="006C0950">
      <w:pPr>
        <w:ind w:right="1133"/>
        <w:jc w:val="both"/>
        <w:rPr>
          <w:sz w:val="28"/>
          <w:szCs w:val="28"/>
        </w:rPr>
      </w:pPr>
      <w:r w:rsidRPr="006C0950">
        <w:rPr>
          <w:sz w:val="28"/>
          <w:szCs w:val="28"/>
        </w:rPr>
        <w:t xml:space="preserve">Cfr. Fonti per la storia dei Somaschi, 17, 1997, a cura di Secondo Brunelli crs., </w:t>
      </w:r>
      <w:r w:rsidRPr="005E0280">
        <w:rPr>
          <w:i/>
          <w:sz w:val="28"/>
          <w:szCs w:val="28"/>
        </w:rPr>
        <w:t>Collaboratori di San Girolamo Miani a Verona</w:t>
      </w:r>
      <w:r w:rsidRPr="006C0950">
        <w:rPr>
          <w:sz w:val="28"/>
          <w:szCs w:val="28"/>
        </w:rPr>
        <w:t>, pag. 1-74</w:t>
      </w:r>
    </w:p>
    <w:p w:rsidR="007A3B68" w:rsidRDefault="0034366A" w:rsidP="0034366A">
      <w:pPr>
        <w:ind w:right="1133"/>
        <w:jc w:val="both"/>
        <w:rPr>
          <w:sz w:val="28"/>
          <w:szCs w:val="28"/>
        </w:rPr>
      </w:pPr>
      <w:r>
        <w:rPr>
          <w:sz w:val="28"/>
          <w:szCs w:val="28"/>
        </w:rPr>
        <w:t xml:space="preserve">Cfr. </w:t>
      </w:r>
      <w:r w:rsidR="0038045D">
        <w:rPr>
          <w:sz w:val="28"/>
          <w:szCs w:val="28"/>
        </w:rPr>
        <w:t xml:space="preserve">AGGIUNTA n. </w:t>
      </w:r>
      <w:r w:rsidR="00C346A1">
        <w:rPr>
          <w:sz w:val="28"/>
          <w:szCs w:val="28"/>
        </w:rPr>
        <w:t>3</w:t>
      </w:r>
      <w:r w:rsidR="00F520E6">
        <w:rPr>
          <w:sz w:val="28"/>
          <w:szCs w:val="28"/>
        </w:rPr>
        <w:t xml:space="preserve"> </w:t>
      </w:r>
    </w:p>
    <w:p w:rsidR="00F520E6" w:rsidRDefault="00F520E6" w:rsidP="0034366A">
      <w:pPr>
        <w:ind w:right="1133"/>
        <w:jc w:val="both"/>
        <w:rPr>
          <w:sz w:val="28"/>
          <w:szCs w:val="28"/>
        </w:rPr>
      </w:pPr>
      <w:r>
        <w:rPr>
          <w:sz w:val="28"/>
          <w:szCs w:val="28"/>
        </w:rPr>
        <w:t>M</w:t>
      </w:r>
      <w:r w:rsidR="007A3B68">
        <w:rPr>
          <w:sz w:val="28"/>
          <w:szCs w:val="28"/>
        </w:rPr>
        <w:t>arco Tentorio-Secondo Brunelli</w:t>
      </w:r>
      <w:r>
        <w:rPr>
          <w:sz w:val="28"/>
          <w:szCs w:val="28"/>
        </w:rPr>
        <w:t xml:space="preserve">, </w:t>
      </w:r>
      <w:r w:rsidR="007A3B68" w:rsidRPr="007A3B68">
        <w:rPr>
          <w:i/>
          <w:sz w:val="28"/>
          <w:szCs w:val="28"/>
        </w:rPr>
        <w:t>O</w:t>
      </w:r>
      <w:r>
        <w:rPr>
          <w:i/>
          <w:sz w:val="28"/>
          <w:szCs w:val="28"/>
        </w:rPr>
        <w:t>rfanotrofio di Verona</w:t>
      </w:r>
      <w:r w:rsidR="00C346A1">
        <w:rPr>
          <w:sz w:val="28"/>
          <w:szCs w:val="28"/>
        </w:rPr>
        <w:t>, datt</w:t>
      </w:r>
      <w:r w:rsidR="0034366A">
        <w:rPr>
          <w:sz w:val="28"/>
          <w:szCs w:val="28"/>
        </w:rPr>
        <w:t>i</w:t>
      </w:r>
      <w:r w:rsidR="00C346A1">
        <w:rPr>
          <w:sz w:val="28"/>
          <w:szCs w:val="28"/>
        </w:rPr>
        <w:t>loscritto</w:t>
      </w:r>
      <w:r w:rsidR="007A3B68">
        <w:rPr>
          <w:sz w:val="28"/>
          <w:szCs w:val="28"/>
        </w:rPr>
        <w:t>, pag. 1-32, 15.1.2020</w:t>
      </w:r>
    </w:p>
    <w:p w:rsidR="0034366A" w:rsidRDefault="0034366A" w:rsidP="0034366A">
      <w:pPr>
        <w:ind w:right="1133"/>
        <w:jc w:val="both"/>
        <w:rPr>
          <w:sz w:val="28"/>
          <w:szCs w:val="28"/>
        </w:rPr>
      </w:pPr>
      <w:r>
        <w:rPr>
          <w:sz w:val="28"/>
          <w:szCs w:val="28"/>
        </w:rPr>
        <w:t>Cfr. AGGIUNTA n. 4</w:t>
      </w:r>
    </w:p>
    <w:p w:rsidR="0034366A" w:rsidRDefault="0034366A" w:rsidP="0034366A">
      <w:pPr>
        <w:ind w:right="1133"/>
        <w:jc w:val="both"/>
        <w:rPr>
          <w:i/>
          <w:sz w:val="28"/>
          <w:szCs w:val="28"/>
        </w:rPr>
      </w:pPr>
      <w:r>
        <w:rPr>
          <w:sz w:val="28"/>
          <w:szCs w:val="28"/>
        </w:rPr>
        <w:t>Secondo Brunelli</w:t>
      </w:r>
      <w:r w:rsidR="007A3B68">
        <w:rPr>
          <w:sz w:val="28"/>
          <w:szCs w:val="28"/>
        </w:rPr>
        <w:t xml:space="preserve">, </w:t>
      </w:r>
      <w:r>
        <w:rPr>
          <w:sz w:val="28"/>
          <w:szCs w:val="28"/>
        </w:rPr>
        <w:t xml:space="preserve"> </w:t>
      </w:r>
      <w:r w:rsidRPr="007A3B68">
        <w:rPr>
          <w:i/>
          <w:sz w:val="28"/>
          <w:szCs w:val="28"/>
        </w:rPr>
        <w:t>Giberti Gian Pietro, cheda</w:t>
      </w:r>
    </w:p>
    <w:p w:rsidR="00DE633E" w:rsidRDefault="00DE633E" w:rsidP="0034366A">
      <w:pPr>
        <w:ind w:right="1133"/>
        <w:jc w:val="both"/>
        <w:rPr>
          <w:sz w:val="28"/>
          <w:szCs w:val="28"/>
        </w:rPr>
      </w:pPr>
      <w:r>
        <w:rPr>
          <w:sz w:val="28"/>
          <w:szCs w:val="28"/>
        </w:rPr>
        <w:t>Cfr. AGGIUNTA n. 5</w:t>
      </w:r>
    </w:p>
    <w:p w:rsidR="00DE633E" w:rsidRDefault="00DE633E" w:rsidP="0034366A">
      <w:pPr>
        <w:ind w:right="1133"/>
        <w:jc w:val="both"/>
        <w:rPr>
          <w:sz w:val="28"/>
          <w:szCs w:val="28"/>
        </w:rPr>
      </w:pPr>
      <w:r>
        <w:rPr>
          <w:sz w:val="28"/>
          <w:szCs w:val="28"/>
        </w:rPr>
        <w:t xml:space="preserve">Secondo Brunelli, </w:t>
      </w:r>
      <w:r>
        <w:rPr>
          <w:i/>
          <w:sz w:val="28"/>
          <w:szCs w:val="28"/>
        </w:rPr>
        <w:t xml:space="preserve">Aggiunte P. Paltrinieri. Collaboratori del Miani a Verona, </w:t>
      </w:r>
      <w:r w:rsidRPr="00DE633E">
        <w:rPr>
          <w:sz w:val="28"/>
          <w:szCs w:val="28"/>
        </w:rPr>
        <w:t xml:space="preserve">pag. </w:t>
      </w:r>
      <w:r>
        <w:rPr>
          <w:sz w:val="28"/>
          <w:szCs w:val="28"/>
        </w:rPr>
        <w:t>1.15</w:t>
      </w:r>
    </w:p>
    <w:p w:rsidR="00CD2666" w:rsidRDefault="00CD2666" w:rsidP="0034366A">
      <w:pPr>
        <w:ind w:right="1133"/>
        <w:jc w:val="both"/>
        <w:rPr>
          <w:sz w:val="28"/>
          <w:szCs w:val="28"/>
        </w:rPr>
      </w:pPr>
      <w:r>
        <w:rPr>
          <w:sz w:val="28"/>
          <w:szCs w:val="28"/>
        </w:rPr>
        <w:t>Cfr. AGGIUNTA n. 6</w:t>
      </w:r>
    </w:p>
    <w:p w:rsidR="00CD2666" w:rsidRPr="00CD2666" w:rsidRDefault="00CD2666" w:rsidP="0034366A">
      <w:pPr>
        <w:ind w:right="1133"/>
        <w:jc w:val="both"/>
        <w:rPr>
          <w:sz w:val="28"/>
          <w:szCs w:val="28"/>
        </w:rPr>
      </w:pPr>
      <w:r>
        <w:rPr>
          <w:sz w:val="28"/>
          <w:szCs w:val="28"/>
        </w:rPr>
        <w:t xml:space="preserve">Secondo Brunelli, </w:t>
      </w:r>
      <w:r>
        <w:rPr>
          <w:i/>
          <w:sz w:val="28"/>
          <w:szCs w:val="28"/>
        </w:rPr>
        <w:t xml:space="preserve">Lettera per 18.7.1540, </w:t>
      </w:r>
      <w:r>
        <w:rPr>
          <w:sz w:val="28"/>
          <w:szCs w:val="28"/>
        </w:rPr>
        <w:t>pag. 1-2, 10.12.2006</w:t>
      </w:r>
      <w:bookmarkStart w:id="0" w:name="_GoBack"/>
      <w:bookmarkEnd w:id="0"/>
    </w:p>
    <w:p w:rsidR="00F520E6" w:rsidRPr="00F520E6" w:rsidRDefault="00F520E6" w:rsidP="00F520E6">
      <w:pPr>
        <w:ind w:right="1133"/>
        <w:jc w:val="both"/>
        <w:rPr>
          <w:sz w:val="28"/>
          <w:szCs w:val="28"/>
        </w:rPr>
      </w:pPr>
    </w:p>
    <w:p w:rsidR="00F520E6" w:rsidRPr="00F520E6" w:rsidRDefault="00F520E6" w:rsidP="00F520E6">
      <w:pPr>
        <w:ind w:right="1133"/>
        <w:jc w:val="both"/>
        <w:rPr>
          <w:sz w:val="28"/>
          <w:szCs w:val="28"/>
        </w:rPr>
      </w:pPr>
      <w:r w:rsidRPr="00F520E6">
        <w:rPr>
          <w:sz w:val="28"/>
          <w:szCs w:val="28"/>
        </w:rPr>
        <w:tab/>
        <w:t xml:space="preserve"> </w:t>
      </w:r>
    </w:p>
    <w:p w:rsidR="00F520E6" w:rsidRPr="00F520E6" w:rsidRDefault="00F520E6" w:rsidP="00472550">
      <w:pPr>
        <w:ind w:right="1133"/>
        <w:jc w:val="center"/>
        <w:rPr>
          <w:sz w:val="28"/>
          <w:szCs w:val="28"/>
        </w:rPr>
      </w:pPr>
    </w:p>
    <w:p w:rsidR="004F331E" w:rsidRPr="00B617DE" w:rsidRDefault="00F520E6" w:rsidP="0034366A">
      <w:pPr>
        <w:ind w:right="1133"/>
        <w:jc w:val="both"/>
        <w:rPr>
          <w:b/>
          <w:sz w:val="28"/>
          <w:szCs w:val="28"/>
        </w:rPr>
      </w:pPr>
      <w:r w:rsidRPr="00F520E6">
        <w:rPr>
          <w:sz w:val="28"/>
          <w:szCs w:val="28"/>
        </w:rPr>
        <w:tab/>
      </w:r>
    </w:p>
    <w:p w:rsidR="00B617DE" w:rsidRPr="00B617DE" w:rsidRDefault="00B617DE">
      <w:pPr>
        <w:ind w:right="1133"/>
        <w:jc w:val="right"/>
        <w:rPr>
          <w:sz w:val="28"/>
          <w:szCs w:val="28"/>
        </w:rPr>
      </w:pPr>
    </w:p>
    <w:sectPr w:rsidR="00B617DE" w:rsidRPr="00B617D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BF" w:rsidRDefault="00204BBF" w:rsidP="0063748F">
      <w:pPr>
        <w:spacing w:after="0" w:line="240" w:lineRule="auto"/>
      </w:pPr>
      <w:r>
        <w:separator/>
      </w:r>
    </w:p>
  </w:endnote>
  <w:endnote w:type="continuationSeparator" w:id="0">
    <w:p w:rsidR="00204BBF" w:rsidRDefault="00204BBF" w:rsidP="0063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BF" w:rsidRDefault="00204BBF" w:rsidP="0063748F">
      <w:pPr>
        <w:spacing w:after="0" w:line="240" w:lineRule="auto"/>
      </w:pPr>
      <w:r>
        <w:separator/>
      </w:r>
    </w:p>
  </w:footnote>
  <w:footnote w:type="continuationSeparator" w:id="0">
    <w:p w:rsidR="00204BBF" w:rsidRDefault="00204BBF" w:rsidP="0063748F">
      <w:pPr>
        <w:spacing w:after="0" w:line="240" w:lineRule="auto"/>
      </w:pPr>
      <w:r>
        <w:continuationSeparator/>
      </w:r>
    </w:p>
  </w:footnote>
  <w:footnote w:id="1">
    <w:p w:rsidR="0063748F" w:rsidRDefault="0063748F" w:rsidP="00F374AB">
      <w:pPr>
        <w:pStyle w:val="Testonotaapidipagina"/>
        <w:ind w:right="1133"/>
        <w:jc w:val="both"/>
      </w:pPr>
      <w:r>
        <w:rPr>
          <w:rStyle w:val="Rimandonotaapidipagina"/>
        </w:rPr>
        <w:footnoteRef/>
      </w:r>
      <w:r>
        <w:t xml:space="preserve"> </w:t>
      </w:r>
      <w:r w:rsidR="00F374AB" w:rsidRPr="00F374AB">
        <w:t>È certamente fuori luogo quello che affermano alcuni testimoni ai processi: che egli si ritirasse da Venezia, per adempiere al voto di ritirarsi in un eremo (PROCESSI APOSTULICI, processo veneto, fol. 59, fol. 99v; Sommario, pagg. 19-20, testi Sarra Barbara e Giovan Francesco Basadonna); oppure perché a Venezia era divenuto “ludibrio delle genti per il zelo che haveva dell’honor di Dio e del bene delle anime" (ibidem, fol.87; Sommario, pag. 19, teste Luca Molino); o anche per sottrarsi all’ammirazione di nobili e plebei, cosa che riusciva gravosa alla sua umiltà (F. CACCIA, op. cii., pag. 12).</w:t>
      </w:r>
    </w:p>
  </w:footnote>
  <w:footnote w:id="2">
    <w:p w:rsidR="00F374AB" w:rsidRDefault="00F374AB" w:rsidP="00F374AB">
      <w:pPr>
        <w:pStyle w:val="Testonotaapidipagina"/>
        <w:ind w:right="1133"/>
        <w:jc w:val="both"/>
      </w:pPr>
      <w:r>
        <w:rPr>
          <w:rStyle w:val="Rimandonotaapidipagina"/>
        </w:rPr>
        <w:footnoteRef/>
      </w:r>
      <w:r>
        <w:t xml:space="preserve"> </w:t>
      </w:r>
      <w:r w:rsidRPr="00F374AB">
        <w:t>“Quandoquidem illorum operum (quelle dei Servi dei poveri) fundamenta nostris auspiciis iacta essent. Nosque ad eos tum cum Venetiis essemus bonae mem! Hieronymum Emilianum nostrum in Christo dilectissimum fratrem destinasse ..." (Lettera del Card. Carafa del 2 dicembre 1534).</w:t>
      </w:r>
    </w:p>
  </w:footnote>
  <w:footnote w:id="3">
    <w:p w:rsidR="00F374AB" w:rsidRDefault="00F374AB" w:rsidP="00F374AB">
      <w:pPr>
        <w:pStyle w:val="Testonotaapidipagina"/>
        <w:ind w:right="1133"/>
        <w:jc w:val="both"/>
      </w:pPr>
      <w:r>
        <w:rPr>
          <w:rStyle w:val="Rimandonotaapidipagina"/>
        </w:rPr>
        <w:footnoteRef/>
      </w:r>
      <w:r>
        <w:t xml:space="preserve"> </w:t>
      </w:r>
      <w:r w:rsidRPr="00F374AB">
        <w:t>PROCESSI APOSTOLICI, Processo veneto, fol. 9, (teste Giovanni Francesco Basadonna; Sommario, pag. 21).</w:t>
      </w:r>
    </w:p>
  </w:footnote>
  <w:footnote w:id="4">
    <w:p w:rsidR="00F374AB" w:rsidRDefault="00F374AB">
      <w:pPr>
        <w:pStyle w:val="Testonotaapidipagina"/>
      </w:pPr>
      <w:r>
        <w:rPr>
          <w:rStyle w:val="Rimandonotaapidipagina"/>
        </w:rPr>
        <w:footnoteRef/>
      </w:r>
      <w:r>
        <w:t xml:space="preserve"> </w:t>
      </w:r>
      <w:r w:rsidRPr="00F374AB">
        <w:t xml:space="preserve">Cfr. P.PASCHINI, </w:t>
      </w:r>
      <w:r w:rsidRPr="00F374AB">
        <w:rPr>
          <w:i/>
        </w:rPr>
        <w:t>Sari Gaetano Thiene</w:t>
      </w:r>
      <w:r w:rsidRPr="00F374AB">
        <w:t>, cit. Passim.</w:t>
      </w:r>
    </w:p>
  </w:footnote>
  <w:footnote w:id="5">
    <w:p w:rsidR="00D97F27" w:rsidRDefault="00D97F27" w:rsidP="00CB6B59">
      <w:pPr>
        <w:pStyle w:val="Testonotaapidipagina"/>
        <w:ind w:right="1133"/>
        <w:jc w:val="both"/>
      </w:pPr>
      <w:r>
        <w:rPr>
          <w:rStyle w:val="Rimandonotaapidipagina"/>
        </w:rPr>
        <w:footnoteRef/>
      </w:r>
      <w:r>
        <w:t xml:space="preserve"> </w:t>
      </w:r>
      <w:r w:rsidRPr="00D97F27">
        <w:t>G. ALCAINI, Le nostre case in Vicenza, in Bollettino C. Som., I (1917), pagg. 6 e seg.g., vorrebbe insinuare un intervento di Girolamo nella fondazione dell’Ospedale di S. Maria della Misericordia, poi detto degli Orfani, nell’anno 1528. La cosa è stata ripetuta da vari (cfr. ad es. M. SPAGNOLO, Prodromi della Riforma a Vicenza nel sec. XVI, in Regnam Dei, V (1949), pag. 20). Contrario si manifestò A. STOPPIGLIA, Archivio storico, Vicenza; Pio luogo della Misericordia, in Rivista C. Som., V (1929), pag. 332). Non so su quali considerazioni il Landini (op. cit., pag. 365), possa scrivere: Pero, tutto considerato, è verosimile, data la vicinanza di Vicenza e Venezia, da cui quella dipendeva e le conoscenze e aderenze specialmente dei Trissino che Girolamo vi doveva avere, ammettere una influenza di lui nella iniziativa.</w:t>
      </w:r>
    </w:p>
  </w:footnote>
  <w:footnote w:id="6">
    <w:p w:rsidR="00D97F27" w:rsidRDefault="00D97F27" w:rsidP="00D97F27">
      <w:pPr>
        <w:pStyle w:val="Testonotaapidipagina"/>
        <w:ind w:right="1133"/>
        <w:jc w:val="both"/>
      </w:pPr>
      <w:r>
        <w:rPr>
          <w:rStyle w:val="Rimandonotaapidipagina"/>
        </w:rPr>
        <w:footnoteRef/>
      </w:r>
      <w:r>
        <w:t xml:space="preserve"> </w:t>
      </w:r>
      <w:r w:rsidR="00CB6B59">
        <w:t>Lettera di Bianca Trissino ad Ang</w:t>
      </w:r>
      <w:r w:rsidR="002F6885">
        <w:t>e</w:t>
      </w:r>
      <w:r w:rsidR="00CB6B59">
        <w:t>lo Miani del luglio 1535.</w:t>
      </w:r>
    </w:p>
  </w:footnote>
  <w:footnote w:id="7">
    <w:p w:rsidR="00CB6B59" w:rsidRDefault="00CB6B59">
      <w:pPr>
        <w:pStyle w:val="Testonotaapidipagina"/>
      </w:pPr>
      <w:r>
        <w:rPr>
          <w:rStyle w:val="Rimandonotaapidipagina"/>
        </w:rPr>
        <w:footnoteRef/>
      </w:r>
      <w:r>
        <w:t xml:space="preserve"> ANONIMO, op. cit.</w:t>
      </w:r>
    </w:p>
  </w:footnote>
  <w:footnote w:id="8">
    <w:p w:rsidR="00CB6B59" w:rsidRDefault="00CB6B59" w:rsidP="002F6885">
      <w:pPr>
        <w:pStyle w:val="Testonotaapidipagina"/>
        <w:ind w:right="1133"/>
        <w:jc w:val="both"/>
      </w:pPr>
      <w:r>
        <w:rPr>
          <w:rStyle w:val="Rimandonotaapidipagina"/>
        </w:rPr>
        <w:footnoteRef/>
      </w:r>
      <w:r>
        <w:t xml:space="preserve"> </w:t>
      </w:r>
      <w:r w:rsidR="002F6885">
        <w:t>Vedi la già citata bibliografia sul Giberti, e inoltre: P. PASCHINI, La Compagnia del Divino Amore, cit., pag. 78; G.B. SEGALLA, Gian Matteo Giberti, vescovo di Verona, in Rivista C. Som., III (1926), pagg. l3~23; P. Pasohini, S. Girolamo Emiliani e l'attività benefica del suo tempo, in Rivista C. Som., V (1929), pag. 11; oltre naturalmente i biografi del santo: ad es. il BIANCHINI, op. cit., pag. 48; G. LANDINI, pagg. 147,150, 360. Non risulta però su quale documentazione i biografi basino queste notizie. Il SANTINELLI, op. cit., pag. 341, cita “i libri antichi dell`Ospedale della Misericordia” senza precisare meglio. Il primo biografo del Giberti, lo Zini (P. G. ZINI, Boni Pastoris exempluam, ac specimea singulare, Roma, 1555) dice soltanto che il Giberti affidò queste opere a sacerdoti che in Somasca avevano istituito tali opere di carità; quindi ai compagni di Girolamo; ma evidentemente più tardi. La bolla di Paolo III Ex iniunctis nobis desuaper, del 5 giugno 1540, nomina insieme con le opere pie di Bergamo, Milano, Como, Genova, Pavia, Brescia, anche Verona, e dice: “Dicto Hieronimo, et nonnullis aliis mediantibus erecta fuerunt". Ma non si puo inferirne un argomento decisivo, tanto è vero che è citata anche l’opera di Genova, che fu assunta dalla Compagnia dei Servi dei Poveri solo nel 1540, tre anni dopo la morte di Girolamo.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94522"/>
      <w:docPartObj>
        <w:docPartGallery w:val="Page Numbers (Top of Page)"/>
        <w:docPartUnique/>
      </w:docPartObj>
    </w:sdtPr>
    <w:sdtEndPr/>
    <w:sdtContent>
      <w:p w:rsidR="0038045D" w:rsidRDefault="0038045D">
        <w:pPr>
          <w:pStyle w:val="Intestazione"/>
          <w:jc w:val="right"/>
        </w:pPr>
        <w:r>
          <w:fldChar w:fldCharType="begin"/>
        </w:r>
        <w:r>
          <w:instrText>PAGE   \* MERGEFORMAT</w:instrText>
        </w:r>
        <w:r>
          <w:fldChar w:fldCharType="separate"/>
        </w:r>
        <w:r w:rsidR="00CD2666">
          <w:rPr>
            <w:noProof/>
          </w:rPr>
          <w:t>3</w:t>
        </w:r>
        <w:r>
          <w:fldChar w:fldCharType="end"/>
        </w:r>
      </w:p>
    </w:sdtContent>
  </w:sdt>
  <w:p w:rsidR="0038045D" w:rsidRDefault="003804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DE"/>
    <w:rsid w:val="000A54D7"/>
    <w:rsid w:val="00177630"/>
    <w:rsid w:val="00204BBF"/>
    <w:rsid w:val="002F3AC0"/>
    <w:rsid w:val="002F6885"/>
    <w:rsid w:val="00312E1F"/>
    <w:rsid w:val="0034366A"/>
    <w:rsid w:val="0036056B"/>
    <w:rsid w:val="003631DD"/>
    <w:rsid w:val="0038045D"/>
    <w:rsid w:val="00434249"/>
    <w:rsid w:val="00462907"/>
    <w:rsid w:val="00472550"/>
    <w:rsid w:val="004F331E"/>
    <w:rsid w:val="005614D2"/>
    <w:rsid w:val="005E0280"/>
    <w:rsid w:val="005E11DA"/>
    <w:rsid w:val="0061582B"/>
    <w:rsid w:val="0063748F"/>
    <w:rsid w:val="00651A09"/>
    <w:rsid w:val="006C0950"/>
    <w:rsid w:val="006D7ACE"/>
    <w:rsid w:val="007A3B68"/>
    <w:rsid w:val="00A00200"/>
    <w:rsid w:val="00AE5088"/>
    <w:rsid w:val="00B23E32"/>
    <w:rsid w:val="00B617DE"/>
    <w:rsid w:val="00BD3870"/>
    <w:rsid w:val="00C346A1"/>
    <w:rsid w:val="00CB6B59"/>
    <w:rsid w:val="00CC59E2"/>
    <w:rsid w:val="00CD2666"/>
    <w:rsid w:val="00D57F8D"/>
    <w:rsid w:val="00D97F27"/>
    <w:rsid w:val="00DD76F1"/>
    <w:rsid w:val="00DE633E"/>
    <w:rsid w:val="00EF2E0D"/>
    <w:rsid w:val="00F374AB"/>
    <w:rsid w:val="00F52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374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748F"/>
    <w:rPr>
      <w:sz w:val="20"/>
      <w:szCs w:val="20"/>
    </w:rPr>
  </w:style>
  <w:style w:type="character" w:styleId="Rimandonotaapidipagina">
    <w:name w:val="footnote reference"/>
    <w:basedOn w:val="Carpredefinitoparagrafo"/>
    <w:uiPriority w:val="99"/>
    <w:semiHidden/>
    <w:unhideWhenUsed/>
    <w:rsid w:val="0063748F"/>
    <w:rPr>
      <w:vertAlign w:val="superscript"/>
    </w:rPr>
  </w:style>
  <w:style w:type="paragraph" w:styleId="Intestazione">
    <w:name w:val="header"/>
    <w:basedOn w:val="Normale"/>
    <w:link w:val="IntestazioneCarattere"/>
    <w:uiPriority w:val="99"/>
    <w:unhideWhenUsed/>
    <w:rsid w:val="003804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045D"/>
  </w:style>
  <w:style w:type="paragraph" w:styleId="Pidipagina">
    <w:name w:val="footer"/>
    <w:basedOn w:val="Normale"/>
    <w:link w:val="PidipaginaCarattere"/>
    <w:uiPriority w:val="99"/>
    <w:unhideWhenUsed/>
    <w:rsid w:val="003804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045D"/>
  </w:style>
  <w:style w:type="paragraph" w:styleId="Testofumetto">
    <w:name w:val="Balloon Text"/>
    <w:basedOn w:val="Normale"/>
    <w:link w:val="TestofumettoCarattere"/>
    <w:uiPriority w:val="99"/>
    <w:semiHidden/>
    <w:unhideWhenUsed/>
    <w:rsid w:val="00F520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374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748F"/>
    <w:rPr>
      <w:sz w:val="20"/>
      <w:szCs w:val="20"/>
    </w:rPr>
  </w:style>
  <w:style w:type="character" w:styleId="Rimandonotaapidipagina">
    <w:name w:val="footnote reference"/>
    <w:basedOn w:val="Carpredefinitoparagrafo"/>
    <w:uiPriority w:val="99"/>
    <w:semiHidden/>
    <w:unhideWhenUsed/>
    <w:rsid w:val="0063748F"/>
    <w:rPr>
      <w:vertAlign w:val="superscript"/>
    </w:rPr>
  </w:style>
  <w:style w:type="paragraph" w:styleId="Intestazione">
    <w:name w:val="header"/>
    <w:basedOn w:val="Normale"/>
    <w:link w:val="IntestazioneCarattere"/>
    <w:uiPriority w:val="99"/>
    <w:unhideWhenUsed/>
    <w:rsid w:val="003804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045D"/>
  </w:style>
  <w:style w:type="paragraph" w:styleId="Pidipagina">
    <w:name w:val="footer"/>
    <w:basedOn w:val="Normale"/>
    <w:link w:val="PidipaginaCarattere"/>
    <w:uiPriority w:val="99"/>
    <w:unhideWhenUsed/>
    <w:rsid w:val="003804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045D"/>
  </w:style>
  <w:style w:type="paragraph" w:styleId="Testofumetto">
    <w:name w:val="Balloon Text"/>
    <w:basedOn w:val="Normale"/>
    <w:link w:val="TestofumettoCarattere"/>
    <w:uiPriority w:val="99"/>
    <w:semiHidden/>
    <w:unhideWhenUsed/>
    <w:rsid w:val="00F520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06B8-20DD-4D00-8719-7BF0F29A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2020-07-06T08:15:00Z</dcterms:created>
  <dcterms:modified xsi:type="dcterms:W3CDTF">2020-08-05T14:25:00Z</dcterms:modified>
</cp:coreProperties>
</file>