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33" w:rsidRDefault="004E5033" w:rsidP="008D72C6">
      <w:pPr>
        <w:jc w:val="right"/>
        <w:rPr>
          <w:sz w:val="28"/>
          <w:szCs w:val="28"/>
        </w:rPr>
      </w:pPr>
      <w:r>
        <w:rPr>
          <w:sz w:val="28"/>
          <w:szCs w:val="28"/>
        </w:rPr>
        <w:t>pag. 49</w:t>
      </w:r>
    </w:p>
    <w:p w:rsidR="004E5033" w:rsidRPr="004E5033" w:rsidRDefault="004E5033" w:rsidP="00814C84">
      <w:pPr>
        <w:jc w:val="center"/>
        <w:rPr>
          <w:b/>
          <w:sz w:val="28"/>
          <w:szCs w:val="28"/>
        </w:rPr>
      </w:pPr>
      <w:r w:rsidRPr="004E5033">
        <w:rPr>
          <w:b/>
          <w:sz w:val="28"/>
          <w:szCs w:val="28"/>
        </w:rPr>
        <w:t>“SAN GlROLAMO MIA</w:t>
      </w:r>
      <w:r w:rsidR="003745C0">
        <w:rPr>
          <w:b/>
          <w:sz w:val="28"/>
          <w:szCs w:val="28"/>
        </w:rPr>
        <w:t>N</w:t>
      </w:r>
      <w:r w:rsidRPr="004E5033">
        <w:rPr>
          <w:b/>
          <w:sz w:val="28"/>
          <w:szCs w:val="28"/>
        </w:rPr>
        <w:t>I".</w:t>
      </w:r>
    </w:p>
    <w:p w:rsidR="004E5033" w:rsidRDefault="004E5033" w:rsidP="00814C84">
      <w:pPr>
        <w:jc w:val="center"/>
        <w:rPr>
          <w:b/>
          <w:sz w:val="28"/>
          <w:szCs w:val="28"/>
        </w:rPr>
      </w:pPr>
      <w:r w:rsidRPr="004E5033">
        <w:rPr>
          <w:b/>
          <w:sz w:val="28"/>
          <w:szCs w:val="28"/>
        </w:rPr>
        <w:t xml:space="preserve">CONTRIBUTO ALLA CONOSCENZA DELLA </w:t>
      </w:r>
      <w:r w:rsidR="006625C2">
        <w:rPr>
          <w:b/>
          <w:sz w:val="28"/>
          <w:szCs w:val="28"/>
        </w:rPr>
        <w:t>P</w:t>
      </w:r>
      <w:bookmarkStart w:id="0" w:name="_GoBack"/>
      <w:bookmarkEnd w:id="0"/>
      <w:r w:rsidRPr="004E5033">
        <w:rPr>
          <w:b/>
          <w:sz w:val="28"/>
          <w:szCs w:val="28"/>
        </w:rPr>
        <w:t>RERIFORMA CATTOLICA.</w:t>
      </w:r>
    </w:p>
    <w:p w:rsidR="00814C84" w:rsidRPr="004E5033" w:rsidRDefault="00814C84" w:rsidP="00814C84">
      <w:pPr>
        <w:jc w:val="center"/>
        <w:rPr>
          <w:b/>
          <w:sz w:val="28"/>
          <w:szCs w:val="28"/>
        </w:rPr>
      </w:pPr>
    </w:p>
    <w:p w:rsidR="004E5033" w:rsidRPr="00E36999" w:rsidRDefault="004E5033" w:rsidP="008D72C6">
      <w:pPr>
        <w:jc w:val="both"/>
        <w:rPr>
          <w:b/>
          <w:sz w:val="28"/>
          <w:szCs w:val="28"/>
          <w:u w:val="single"/>
        </w:rPr>
      </w:pPr>
      <w:r w:rsidRPr="00E36999">
        <w:rPr>
          <w:b/>
          <w:sz w:val="28"/>
          <w:szCs w:val="28"/>
          <w:u w:val="single"/>
        </w:rPr>
        <w:t xml:space="preserve">2. Infanzi </w:t>
      </w:r>
      <w:r w:rsidR="00C16558" w:rsidRPr="00E36999">
        <w:rPr>
          <w:b/>
          <w:sz w:val="28"/>
          <w:szCs w:val="28"/>
          <w:u w:val="single"/>
        </w:rPr>
        <w:t xml:space="preserve">e giovinezza di </w:t>
      </w:r>
      <w:r w:rsidRPr="00E36999">
        <w:rPr>
          <w:b/>
          <w:sz w:val="28"/>
          <w:szCs w:val="28"/>
          <w:u w:val="single"/>
        </w:rPr>
        <w:t>Girolamo ( 1486-1510 )</w:t>
      </w:r>
      <w:r w:rsidR="00C16558" w:rsidRPr="00E36999">
        <w:rPr>
          <w:rStyle w:val="Rimandonotaapidipagina"/>
          <w:b/>
          <w:sz w:val="28"/>
          <w:szCs w:val="28"/>
          <w:u w:val="single"/>
        </w:rPr>
        <w:footnoteReference w:id="1"/>
      </w:r>
      <w:r w:rsidRPr="00E36999">
        <w:rPr>
          <w:b/>
          <w:sz w:val="28"/>
          <w:szCs w:val="28"/>
          <w:u w:val="single"/>
        </w:rPr>
        <w:t>.</w:t>
      </w:r>
    </w:p>
    <w:p w:rsidR="004E5033" w:rsidRPr="004E5033" w:rsidRDefault="00D4236B" w:rsidP="008D7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033" w:rsidRPr="004E5033">
        <w:rPr>
          <w:sz w:val="28"/>
          <w:szCs w:val="28"/>
        </w:rPr>
        <w:t>Angelo Miani sposò nel 1472 in seconde nozze Dionora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Morosini, essendo rimasto vedovo con una bambina di un anno,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Cristina, dalla prima moglie, una figlia di Eustacchio Troni</w:t>
      </w:r>
      <w:r>
        <w:rPr>
          <w:rStyle w:val="Rimandonotaapidipagina"/>
          <w:sz w:val="28"/>
          <w:szCs w:val="28"/>
        </w:rPr>
        <w:footnoteReference w:id="2"/>
      </w:r>
      <w:r>
        <w:rPr>
          <w:sz w:val="28"/>
          <w:szCs w:val="28"/>
        </w:rPr>
        <w:t>.</w:t>
      </w:r>
      <w:r w:rsidR="004E5033" w:rsidRPr="004E5033">
        <w:rPr>
          <w:sz w:val="28"/>
          <w:szCs w:val="28"/>
        </w:rPr>
        <w:t xml:space="preserve"> Da</w:t>
      </w:r>
      <w:r w:rsidR="001638D3"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questo secondo matrimonio nacquero Luca, nel 1475, Carlo, nel</w:t>
      </w:r>
      <w:r w:rsidR="001638D3"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1477, Marco, nel 1481 e, ultimo, il nostro Girolamo nel 1486</w:t>
      </w:r>
      <w:r w:rsidR="001638D3">
        <w:rPr>
          <w:rStyle w:val="Rimandonotaapidipagina"/>
          <w:sz w:val="28"/>
          <w:szCs w:val="28"/>
        </w:rPr>
        <w:footnoteReference w:id="3"/>
      </w:r>
      <w:r w:rsidR="004E5033" w:rsidRPr="004E5033">
        <w:rPr>
          <w:sz w:val="28"/>
          <w:szCs w:val="28"/>
        </w:rPr>
        <w:t>.</w:t>
      </w:r>
    </w:p>
    <w:p w:rsidR="004E5033" w:rsidRDefault="001562D9" w:rsidP="008D7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033" w:rsidRPr="004E5033">
        <w:rPr>
          <w:sz w:val="28"/>
          <w:szCs w:val="28"/>
        </w:rPr>
        <w:t>Girolamo vide la luce nella casa di san Vitale</w:t>
      </w:r>
      <w:r>
        <w:rPr>
          <w:rStyle w:val="Rimandonotaapidipagina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4E5033" w:rsidRPr="004E5033" w:rsidRDefault="00BC5215" w:rsidP="008D7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033" w:rsidRPr="004E5033">
        <w:rPr>
          <w:sz w:val="28"/>
          <w:szCs w:val="28"/>
        </w:rPr>
        <w:t>Quando egli nacque il padre era a Feltre come podestà e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capitano. In casa c'era la sorellastra Cristina, di ormai quindici o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sedici anni, Luca di undici, Carlo di nove, Marco di cinque anni.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 xml:space="preserve">Forse anche Marcantonio, </w:t>
      </w:r>
      <w:r>
        <w:rPr>
          <w:sz w:val="28"/>
          <w:szCs w:val="28"/>
        </w:rPr>
        <w:t>u</w:t>
      </w:r>
      <w:r w:rsidR="004E5033" w:rsidRPr="004E5033">
        <w:rPr>
          <w:sz w:val="28"/>
          <w:szCs w:val="28"/>
        </w:rPr>
        <w:t>n f</w:t>
      </w:r>
      <w:r>
        <w:rPr>
          <w:sz w:val="28"/>
          <w:szCs w:val="28"/>
        </w:rPr>
        <w:t>r</w:t>
      </w:r>
      <w:r w:rsidR="004E5033" w:rsidRPr="004E5033">
        <w:rPr>
          <w:sz w:val="28"/>
          <w:szCs w:val="28"/>
        </w:rPr>
        <w:t>atelio di Girolamo che pare sia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 xml:space="preserve">morto in tenera età. </w:t>
      </w:r>
    </w:p>
    <w:p w:rsidR="004E5033" w:rsidRDefault="00BC5215" w:rsidP="008D7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033" w:rsidRPr="004E5033">
        <w:rPr>
          <w:sz w:val="28"/>
          <w:szCs w:val="28"/>
        </w:rPr>
        <w:t>Cristina uscì di casa quando Girolamo aveva tre anni, avendo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sposato Tom</w:t>
      </w:r>
      <w:r>
        <w:rPr>
          <w:sz w:val="28"/>
          <w:szCs w:val="28"/>
        </w:rPr>
        <w:t>m</w:t>
      </w:r>
      <w:r w:rsidR="004E5033" w:rsidRPr="004E5033">
        <w:rPr>
          <w:sz w:val="28"/>
          <w:szCs w:val="28"/>
        </w:rPr>
        <w:t>as</w:t>
      </w:r>
      <w:r>
        <w:rPr>
          <w:sz w:val="28"/>
          <w:szCs w:val="28"/>
        </w:rPr>
        <w:t>o Molin M</w:t>
      </w:r>
      <w:r w:rsidR="00F63EC4">
        <w:rPr>
          <w:sz w:val="28"/>
          <w:szCs w:val="28"/>
        </w:rPr>
        <w:t>u</w:t>
      </w:r>
      <w:r>
        <w:rPr>
          <w:sz w:val="28"/>
          <w:szCs w:val="28"/>
        </w:rPr>
        <w:t>rlon di San Samuele</w:t>
      </w:r>
      <w:r>
        <w:rPr>
          <w:rStyle w:val="Rimandonotaapidipagina"/>
          <w:sz w:val="28"/>
          <w:szCs w:val="28"/>
        </w:rPr>
        <w:footnoteReference w:id="5"/>
      </w:r>
      <w:r w:rsidR="004E5033" w:rsidRPr="004E5033">
        <w:rPr>
          <w:sz w:val="28"/>
          <w:szCs w:val="28"/>
        </w:rPr>
        <w:t>.</w:t>
      </w:r>
    </w:p>
    <w:p w:rsidR="004E5033" w:rsidRDefault="003745C0" w:rsidP="008D72C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5033" w:rsidRPr="004E5033">
        <w:rPr>
          <w:sz w:val="28"/>
          <w:szCs w:val="28"/>
        </w:rPr>
        <w:t>Il 14 marzo 1492 -Girolarno aveva sei anni- Luca orma</w:t>
      </w:r>
      <w:r w:rsidR="00F63EC4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diciottenne fu presentato dal padre Angelo al</w:t>
      </w:r>
      <w:r>
        <w:rPr>
          <w:sz w:val="28"/>
          <w:szCs w:val="28"/>
        </w:rPr>
        <w:t>l’</w:t>
      </w:r>
      <w:r w:rsidR="004E5033" w:rsidRPr="004E5033">
        <w:rPr>
          <w:sz w:val="28"/>
          <w:szCs w:val="28"/>
        </w:rPr>
        <w:t>A</w:t>
      </w:r>
      <w:r>
        <w:rPr>
          <w:sz w:val="28"/>
          <w:szCs w:val="28"/>
        </w:rPr>
        <w:t>v</w:t>
      </w:r>
      <w:r w:rsidR="004E5033" w:rsidRPr="004E5033">
        <w:rPr>
          <w:sz w:val="28"/>
          <w:szCs w:val="28"/>
        </w:rPr>
        <w:t>ogaria di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 xml:space="preserve">Comun per fruire dei </w:t>
      </w:r>
      <w:r>
        <w:rPr>
          <w:sz w:val="28"/>
          <w:szCs w:val="28"/>
        </w:rPr>
        <w:t>s</w:t>
      </w:r>
      <w:r w:rsidR="004E5033" w:rsidRPr="004E5033">
        <w:rPr>
          <w:sz w:val="28"/>
          <w:szCs w:val="28"/>
        </w:rPr>
        <w:t>o</w:t>
      </w:r>
      <w:r>
        <w:rPr>
          <w:sz w:val="28"/>
          <w:szCs w:val="28"/>
        </w:rPr>
        <w:t>r</w:t>
      </w:r>
      <w:r w:rsidR="004E5033" w:rsidRPr="004E5033">
        <w:rPr>
          <w:sz w:val="28"/>
          <w:szCs w:val="28"/>
        </w:rPr>
        <w:t>teggio della Balla d</w:t>
      </w:r>
      <w:r>
        <w:rPr>
          <w:sz w:val="28"/>
          <w:szCs w:val="28"/>
        </w:rPr>
        <w:t>’</w:t>
      </w:r>
      <w:r w:rsidR="004E5033" w:rsidRPr="004E5033">
        <w:rPr>
          <w:sz w:val="28"/>
          <w:szCs w:val="28"/>
        </w:rPr>
        <w:t>oro nel giorno di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santa Barbara e poter iniziare s</w:t>
      </w:r>
      <w:r>
        <w:rPr>
          <w:sz w:val="28"/>
          <w:szCs w:val="28"/>
        </w:rPr>
        <w:t>u</w:t>
      </w:r>
      <w:r w:rsidR="004E5033" w:rsidRPr="004E5033">
        <w:rPr>
          <w:sz w:val="28"/>
          <w:szCs w:val="28"/>
        </w:rPr>
        <w:t xml:space="preserve">bito, qualora la sorte </w:t>
      </w:r>
      <w:r>
        <w:rPr>
          <w:sz w:val="28"/>
          <w:szCs w:val="28"/>
        </w:rPr>
        <w:t>l’</w:t>
      </w:r>
      <w:r w:rsidR="004E5033" w:rsidRPr="004E5033">
        <w:rPr>
          <w:sz w:val="28"/>
          <w:szCs w:val="28"/>
        </w:rPr>
        <w:t>avesse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favorito, la sua partecipazione alla vita pubblica, entrando a far</w:t>
      </w:r>
      <w:r>
        <w:rPr>
          <w:sz w:val="28"/>
          <w:szCs w:val="28"/>
        </w:rPr>
        <w:t xml:space="preserve"> </w:t>
      </w:r>
      <w:r w:rsidR="004E5033" w:rsidRPr="004E5033">
        <w:rPr>
          <w:sz w:val="28"/>
          <w:szCs w:val="28"/>
        </w:rPr>
        <w:t>parte del Maggior Co›nsig</w:t>
      </w:r>
      <w:r>
        <w:rPr>
          <w:sz w:val="28"/>
          <w:szCs w:val="28"/>
        </w:rPr>
        <w:t>l</w:t>
      </w:r>
      <w:r w:rsidR="004E5033" w:rsidRPr="004E5033">
        <w:rPr>
          <w:sz w:val="28"/>
          <w:szCs w:val="28"/>
        </w:rPr>
        <w:t>io</w:t>
      </w:r>
      <w:r>
        <w:rPr>
          <w:rStyle w:val="Rimandonotaapidipagina"/>
          <w:sz w:val="28"/>
          <w:szCs w:val="28"/>
        </w:rPr>
        <w:footnoteReference w:id="6"/>
      </w:r>
      <w:r w:rsidR="004E5033" w:rsidRPr="004E5033">
        <w:rPr>
          <w:sz w:val="28"/>
          <w:szCs w:val="28"/>
        </w:rPr>
        <w:t>.</w:t>
      </w:r>
    </w:p>
    <w:p w:rsidR="003745C0" w:rsidRPr="003745C0" w:rsidRDefault="006F37A0" w:rsidP="006F37A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pag. </w:t>
      </w:r>
      <w:r w:rsidR="003745C0" w:rsidRPr="003745C0">
        <w:rPr>
          <w:sz w:val="28"/>
          <w:szCs w:val="28"/>
        </w:rPr>
        <w:t xml:space="preserve">50 </w:t>
      </w:r>
    </w:p>
    <w:p w:rsidR="003745C0" w:rsidRPr="003745C0" w:rsidRDefault="003745C0" w:rsidP="006F37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745C0">
        <w:rPr>
          <w:sz w:val="28"/>
          <w:szCs w:val="28"/>
        </w:rPr>
        <w:t>Subito dopo il padre si trasferì a Lepanto, per assumere il</w:t>
      </w:r>
      <w:r>
        <w:rPr>
          <w:sz w:val="28"/>
          <w:szCs w:val="28"/>
        </w:rPr>
        <w:t xml:space="preserve"> </w:t>
      </w:r>
      <w:r w:rsidRPr="003745C0">
        <w:rPr>
          <w:sz w:val="28"/>
          <w:szCs w:val="28"/>
        </w:rPr>
        <w:t>posto di provveditore della repubblica. Il 29 novembre 1495</w:t>
      </w:r>
      <w:r w:rsidR="007D5186">
        <w:rPr>
          <w:sz w:val="28"/>
          <w:szCs w:val="28"/>
        </w:rPr>
        <w:t xml:space="preserve"> </w:t>
      </w:r>
      <w:r w:rsidRPr="003745C0">
        <w:rPr>
          <w:sz w:val="28"/>
          <w:szCs w:val="28"/>
        </w:rPr>
        <w:t>Angelo presentò alla Balla d</w:t>
      </w:r>
      <w:r w:rsidR="007D5186">
        <w:rPr>
          <w:sz w:val="28"/>
          <w:szCs w:val="28"/>
        </w:rPr>
        <w:t>’</w:t>
      </w:r>
      <w:r w:rsidRPr="003745C0">
        <w:rPr>
          <w:sz w:val="28"/>
          <w:szCs w:val="28"/>
        </w:rPr>
        <w:t>oro il secondo figlio Carlo</w:t>
      </w:r>
      <w:r w:rsidR="007D5186">
        <w:rPr>
          <w:rStyle w:val="Rimandonotaapidipagina"/>
          <w:sz w:val="28"/>
          <w:szCs w:val="28"/>
        </w:rPr>
        <w:footnoteReference w:id="7"/>
      </w:r>
      <w:r w:rsidRPr="003745C0">
        <w:rPr>
          <w:sz w:val="28"/>
          <w:szCs w:val="28"/>
        </w:rPr>
        <w:t>.</w:t>
      </w:r>
    </w:p>
    <w:p w:rsidR="006F37A0" w:rsidRDefault="007D5186" w:rsidP="006F37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5C0" w:rsidRPr="003745C0">
        <w:rPr>
          <w:sz w:val="28"/>
          <w:szCs w:val="28"/>
        </w:rPr>
        <w:t>L'anno dopo, una grave sciagura si abbatte sulla famiglia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Miani. Un mattino Angelo Miani fu trovato “appiccato ad una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scala a Rialto”</w:t>
      </w:r>
      <w:r>
        <w:rPr>
          <w:rStyle w:val="Rimandonotaapidipagina"/>
          <w:sz w:val="28"/>
          <w:szCs w:val="28"/>
        </w:rPr>
        <w:footnoteReference w:id="8"/>
      </w:r>
      <w:r w:rsidR="003745C0" w:rsidRPr="003745C0">
        <w:rPr>
          <w:sz w:val="28"/>
          <w:szCs w:val="28"/>
        </w:rPr>
        <w:t xml:space="preserve">. </w:t>
      </w:r>
    </w:p>
    <w:p w:rsidR="003745C0" w:rsidRDefault="006F37A0" w:rsidP="00A92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5C0" w:rsidRPr="003745C0">
        <w:rPr>
          <w:sz w:val="28"/>
          <w:szCs w:val="28"/>
        </w:rPr>
        <w:t>Per i quattro anni che seg</w:t>
      </w:r>
      <w:r>
        <w:rPr>
          <w:sz w:val="28"/>
          <w:szCs w:val="28"/>
        </w:rPr>
        <w:t>uono non possediamo alcuna noti</w:t>
      </w:r>
      <w:r w:rsidR="003745C0" w:rsidRPr="003745C0">
        <w:rPr>
          <w:sz w:val="28"/>
          <w:szCs w:val="28"/>
        </w:rPr>
        <w:t>zia né di Girolamo né dei fratelli. Solo nel 1500 Luca Miani fu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eletto podestà a Marostega</w:t>
      </w:r>
      <w:r>
        <w:rPr>
          <w:rStyle w:val="Rimandonotaapidipagina"/>
          <w:sz w:val="28"/>
          <w:szCs w:val="28"/>
        </w:rPr>
        <w:footnoteReference w:id="9"/>
      </w:r>
      <w:r w:rsidR="003745C0" w:rsidRPr="003745C0">
        <w:rPr>
          <w:sz w:val="28"/>
          <w:szCs w:val="28"/>
        </w:rPr>
        <w:t>. Il 17 ottobre 1501 Dionora presentò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alla Balla d</w:t>
      </w:r>
      <w:r>
        <w:rPr>
          <w:sz w:val="28"/>
          <w:szCs w:val="28"/>
        </w:rPr>
        <w:t>’</w:t>
      </w:r>
      <w:r w:rsidR="003745C0" w:rsidRPr="003745C0">
        <w:rPr>
          <w:sz w:val="28"/>
          <w:szCs w:val="28"/>
        </w:rPr>
        <w:t>oro Marco, ormai ventenne</w:t>
      </w:r>
      <w:r>
        <w:rPr>
          <w:rStyle w:val="Rimandonotaapidipagina"/>
          <w:sz w:val="28"/>
          <w:szCs w:val="28"/>
        </w:rPr>
        <w:footnoteReference w:id="10"/>
      </w:r>
      <w:r w:rsidR="003745C0" w:rsidRPr="003745C0">
        <w:rPr>
          <w:sz w:val="28"/>
          <w:szCs w:val="28"/>
        </w:rPr>
        <w:t>. Nel 1504 lo stesso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Marco sposò Elena Spandolin</w:t>
      </w:r>
      <w:r>
        <w:rPr>
          <w:rStyle w:val="Rimandonotaapidipagina"/>
          <w:sz w:val="28"/>
          <w:szCs w:val="28"/>
        </w:rPr>
        <w:footnoteReference w:id="11"/>
      </w:r>
      <w:r w:rsidR="003745C0" w:rsidRPr="003745C0">
        <w:rPr>
          <w:sz w:val="28"/>
          <w:szCs w:val="28"/>
        </w:rPr>
        <w:t>.</w:t>
      </w:r>
      <w:r>
        <w:rPr>
          <w:sz w:val="28"/>
          <w:szCs w:val="28"/>
        </w:rPr>
        <w:t xml:space="preserve"> Nello stesso anno Luca fu pode</w:t>
      </w:r>
      <w:r w:rsidR="003745C0" w:rsidRPr="003745C0">
        <w:rPr>
          <w:sz w:val="28"/>
          <w:szCs w:val="28"/>
        </w:rPr>
        <w:t>stà a Brisighella</w:t>
      </w:r>
      <w:r w:rsidR="00A92C14">
        <w:rPr>
          <w:rStyle w:val="Rimandonotaapidipagina"/>
          <w:sz w:val="28"/>
          <w:szCs w:val="28"/>
        </w:rPr>
        <w:footnoteReference w:id="12"/>
      </w:r>
      <w:r w:rsidR="003745C0" w:rsidRPr="003745C0">
        <w:rPr>
          <w:sz w:val="28"/>
          <w:szCs w:val="28"/>
        </w:rPr>
        <w:t>. Nel 1506, il primo dicembre, anche Girolamo,</w:t>
      </w:r>
      <w:r w:rsidR="00A92C14"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ventenne, fu presentato dalla madre al sorteggio della Balla</w:t>
      </w:r>
      <w:r w:rsidR="00A92C14"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doro</w:t>
      </w:r>
      <w:r w:rsidR="00A92C14">
        <w:rPr>
          <w:rStyle w:val="Rimandonotaapidipagina"/>
          <w:sz w:val="28"/>
          <w:szCs w:val="28"/>
        </w:rPr>
        <w:footnoteReference w:id="13"/>
      </w:r>
      <w:r w:rsidR="003745C0" w:rsidRPr="003745C0">
        <w:rPr>
          <w:sz w:val="28"/>
          <w:szCs w:val="28"/>
        </w:rPr>
        <w:t>.</w:t>
      </w:r>
    </w:p>
    <w:p w:rsidR="00A92C14" w:rsidRDefault="00A92C14" w:rsidP="00A92C1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745C0" w:rsidRPr="003745C0">
        <w:rPr>
          <w:sz w:val="28"/>
          <w:szCs w:val="28"/>
        </w:rPr>
        <w:t>L</w:t>
      </w:r>
      <w:r>
        <w:rPr>
          <w:sz w:val="28"/>
          <w:szCs w:val="28"/>
        </w:rPr>
        <w:t>’</w:t>
      </w:r>
      <w:r w:rsidR="003745C0" w:rsidRPr="003745C0">
        <w:rPr>
          <w:sz w:val="28"/>
          <w:szCs w:val="28"/>
        </w:rPr>
        <w:t xml:space="preserve">arida successione di questi dati non soddisfa certo il </w:t>
      </w:r>
      <w:r>
        <w:rPr>
          <w:sz w:val="28"/>
          <w:szCs w:val="28"/>
        </w:rPr>
        <w:t>d</w:t>
      </w:r>
      <w:r w:rsidR="003745C0" w:rsidRPr="003745C0">
        <w:rPr>
          <w:sz w:val="28"/>
          <w:szCs w:val="28"/>
        </w:rPr>
        <w:t>es</w:t>
      </w:r>
      <w:r>
        <w:rPr>
          <w:sz w:val="28"/>
          <w:szCs w:val="28"/>
        </w:rPr>
        <w:t>i</w:t>
      </w:r>
      <w:r w:rsidR="003745C0" w:rsidRPr="003745C0">
        <w:rPr>
          <w:sz w:val="28"/>
          <w:szCs w:val="28"/>
        </w:rPr>
        <w:t>derio di conoscere Girolamo.</w:t>
      </w:r>
      <w:r>
        <w:rPr>
          <w:sz w:val="28"/>
          <w:szCs w:val="28"/>
        </w:rPr>
        <w:t xml:space="preserve"> </w:t>
      </w:r>
    </w:p>
    <w:p w:rsidR="00FB6BE5" w:rsidRDefault="00A92C14" w:rsidP="00FB6B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45C0" w:rsidRPr="003745C0">
        <w:rPr>
          <w:sz w:val="28"/>
          <w:szCs w:val="28"/>
        </w:rPr>
        <w:t>Fortunatamente ci avvicinano un po' di più a lui le poche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frasi con cui l</w:t>
      </w:r>
      <w:r>
        <w:rPr>
          <w:sz w:val="28"/>
          <w:szCs w:val="28"/>
        </w:rPr>
        <w:t>’</w:t>
      </w:r>
      <w:r w:rsidR="003745C0" w:rsidRPr="003745C0">
        <w:rPr>
          <w:sz w:val="28"/>
          <w:szCs w:val="28"/>
        </w:rPr>
        <w:t>Anonirno ce ne descrive il carattere: “Non gli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 xml:space="preserve">mancavano molte </w:t>
      </w:r>
      <w:r>
        <w:rPr>
          <w:sz w:val="28"/>
          <w:szCs w:val="28"/>
        </w:rPr>
        <w:t>am</w:t>
      </w:r>
      <w:r w:rsidR="003745C0" w:rsidRPr="003745C0">
        <w:rPr>
          <w:sz w:val="28"/>
          <w:szCs w:val="28"/>
        </w:rPr>
        <w:t>icizie, sì perché era in conservarsele molto</w:t>
      </w:r>
      <w:r>
        <w:rPr>
          <w:sz w:val="28"/>
          <w:szCs w:val="28"/>
        </w:rPr>
        <w:t xml:space="preserve"> </w:t>
      </w:r>
      <w:r w:rsidR="003745C0" w:rsidRPr="003745C0">
        <w:rPr>
          <w:sz w:val="28"/>
          <w:szCs w:val="28"/>
        </w:rPr>
        <w:t>grazioso</w:t>
      </w:r>
      <w:r>
        <w:rPr>
          <w:sz w:val="28"/>
          <w:szCs w:val="28"/>
        </w:rPr>
        <w:t>,</w:t>
      </w:r>
      <w:r w:rsidR="003745C0" w:rsidRPr="003745C0">
        <w:rPr>
          <w:sz w:val="28"/>
          <w:szCs w:val="28"/>
        </w:rPr>
        <w:t xml:space="preserve"> sì anche per natia inclinatione in conciliarle; era affet</w:t>
      </w:r>
      <w:r w:rsidR="00FB6BE5">
        <w:rPr>
          <w:sz w:val="28"/>
          <w:szCs w:val="28"/>
        </w:rPr>
        <w:t>-</w:t>
      </w:r>
    </w:p>
    <w:p w:rsidR="00FB6BE5" w:rsidRDefault="00FB6BE5" w:rsidP="00FB6BE5">
      <w:pPr>
        <w:jc w:val="right"/>
        <w:rPr>
          <w:sz w:val="28"/>
          <w:szCs w:val="28"/>
        </w:rPr>
      </w:pPr>
      <w:r w:rsidRPr="00FB6BE5">
        <w:rPr>
          <w:sz w:val="28"/>
          <w:szCs w:val="28"/>
        </w:rPr>
        <w:t>pag. 51</w:t>
      </w:r>
    </w:p>
    <w:p w:rsidR="00A92C14" w:rsidRPr="00A92C14" w:rsidRDefault="00FB6BE5" w:rsidP="00A92C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-tuoso, </w:t>
      </w:r>
      <w:r w:rsidR="00A92C14" w:rsidRPr="00A92C14">
        <w:rPr>
          <w:sz w:val="28"/>
          <w:szCs w:val="28"/>
        </w:rPr>
        <w:t>et pieno di benevolenza, era di natura sua allegro, cortese,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d</w:t>
      </w:r>
      <w:r>
        <w:rPr>
          <w:sz w:val="28"/>
          <w:szCs w:val="28"/>
        </w:rPr>
        <w:t>’</w:t>
      </w:r>
      <w:r w:rsidR="00A92C14" w:rsidRPr="00A92C14">
        <w:rPr>
          <w:sz w:val="28"/>
          <w:szCs w:val="28"/>
        </w:rPr>
        <w:t xml:space="preserve">animo forte, benché </w:t>
      </w:r>
      <w:r>
        <w:rPr>
          <w:sz w:val="28"/>
          <w:szCs w:val="28"/>
        </w:rPr>
        <w:t>l’</w:t>
      </w:r>
      <w:r w:rsidR="00A92C14" w:rsidRPr="00A92C14">
        <w:rPr>
          <w:sz w:val="28"/>
          <w:szCs w:val="28"/>
        </w:rPr>
        <w:t>amore superasse l</w:t>
      </w:r>
      <w:r>
        <w:rPr>
          <w:sz w:val="28"/>
          <w:szCs w:val="28"/>
        </w:rPr>
        <w:t>’ingegno...”</w:t>
      </w:r>
      <w:r>
        <w:rPr>
          <w:rStyle w:val="Rimandonotaapidipagina"/>
          <w:sz w:val="28"/>
          <w:szCs w:val="28"/>
        </w:rPr>
        <w:footnoteReference w:id="14"/>
      </w:r>
      <w:r w:rsidR="00A92C14" w:rsidRPr="00A92C14">
        <w:rPr>
          <w:sz w:val="28"/>
          <w:szCs w:val="28"/>
        </w:rPr>
        <w:t>.</w:t>
      </w:r>
    </w:p>
    <w:p w:rsidR="00A92C14" w:rsidRPr="00A92C14" w:rsidRDefault="00FB6BE5" w:rsidP="00A92C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92C14" w:rsidRPr="00A92C14">
        <w:rPr>
          <w:sz w:val="28"/>
          <w:szCs w:val="28"/>
        </w:rPr>
        <w:t>Con un temperamento così espansivo non ci fa meraviglia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 xml:space="preserve">che, nella splendida Venezia dei primi anni del </w:t>
      </w:r>
      <w:r>
        <w:rPr>
          <w:sz w:val="28"/>
          <w:szCs w:val="28"/>
        </w:rPr>
        <w:t>‘</w:t>
      </w:r>
      <w:r w:rsidR="00A92C14" w:rsidRPr="00A92C14">
        <w:rPr>
          <w:sz w:val="28"/>
          <w:szCs w:val="28"/>
        </w:rPr>
        <w:t>S00</w:t>
      </w:r>
      <w:r>
        <w:rPr>
          <w:rStyle w:val="Rimandonotaapidipagina"/>
          <w:sz w:val="28"/>
          <w:szCs w:val="28"/>
        </w:rPr>
        <w:footnoteReference w:id="15"/>
      </w:r>
      <w:r w:rsidR="00A92C14" w:rsidRPr="00A92C14">
        <w:rPr>
          <w:sz w:val="28"/>
          <w:szCs w:val="28"/>
        </w:rPr>
        <w:t>, Girolamo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sia vissuto “nella sua gioventù variamente, et alla varietà dei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tempi accomodossi</w:t>
      </w:r>
      <w:r>
        <w:rPr>
          <w:sz w:val="28"/>
          <w:szCs w:val="28"/>
        </w:rPr>
        <w:t>”</w:t>
      </w:r>
      <w:r>
        <w:rPr>
          <w:rStyle w:val="Rimandonotaapidipagina"/>
          <w:sz w:val="28"/>
          <w:szCs w:val="28"/>
        </w:rPr>
        <w:footnoteReference w:id="16"/>
      </w:r>
      <w:r w:rsidR="00A92C14" w:rsidRPr="00A92C14">
        <w:rPr>
          <w:sz w:val="28"/>
          <w:szCs w:val="28"/>
        </w:rPr>
        <w:t>. “Era stato giovane che si haveva dato</w:t>
      </w:r>
      <w:r w:rsidR="009E4C5A"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buon tempo” sarà solita ripetere, fattasi suora, Elena Miani,</w:t>
      </w:r>
      <w:r w:rsidR="009E4C5A"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figlia di Luca, una delle nipoti a cui Girolamo dedicherà tutte le</w:t>
      </w:r>
      <w:r w:rsidR="009E4C5A"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sue cure dopo la morte del fratello</w:t>
      </w:r>
      <w:r w:rsidR="009E4C5A">
        <w:rPr>
          <w:rStyle w:val="Rimandonotaapidipagina"/>
          <w:sz w:val="28"/>
          <w:szCs w:val="28"/>
        </w:rPr>
        <w:footnoteReference w:id="17"/>
      </w:r>
      <w:r w:rsidR="00A92C14" w:rsidRPr="00A92C14">
        <w:rPr>
          <w:sz w:val="28"/>
          <w:szCs w:val="28"/>
        </w:rPr>
        <w:t>.</w:t>
      </w:r>
    </w:p>
    <w:p w:rsidR="00A92C14" w:rsidRPr="00A92C14" w:rsidRDefault="009E4C5A" w:rsidP="00A92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2C14" w:rsidRPr="00A92C14">
        <w:rPr>
          <w:sz w:val="28"/>
          <w:szCs w:val="28"/>
        </w:rPr>
        <w:t>Forse questo periodo di sbandamento fu preceduto da un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momento di intensa applicazione alla vita religiosa</w:t>
      </w:r>
      <w:r>
        <w:rPr>
          <w:rStyle w:val="Rimandonotaapidipagina"/>
          <w:sz w:val="28"/>
          <w:szCs w:val="28"/>
        </w:rPr>
        <w:footnoteReference w:id="18"/>
      </w:r>
      <w:r w:rsidR="00A92C14" w:rsidRPr="00A92C14">
        <w:rPr>
          <w:sz w:val="28"/>
          <w:szCs w:val="28"/>
        </w:rPr>
        <w:t>.</w:t>
      </w:r>
    </w:p>
    <w:p w:rsidR="00A92C14" w:rsidRPr="00A92C14" w:rsidRDefault="009E4C5A" w:rsidP="00A92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2C14" w:rsidRPr="00A92C14">
        <w:rPr>
          <w:sz w:val="28"/>
          <w:szCs w:val="28"/>
        </w:rPr>
        <w:t>Pare che Girolamo abbia sentito per un certo tempo inclinazione verso la vita claustrale e abbia fatto richiesta di entrare fra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i cappuccini regolari, che a Venezia avevano il convento della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Carità, proprio vicino alla casa dei Miani di San Vitale. Per una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malattia che lo colpì i superiori non avrebbero creduto opportuno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ch</w:t>
      </w:r>
      <w:r>
        <w:rPr>
          <w:sz w:val="28"/>
          <w:szCs w:val="28"/>
        </w:rPr>
        <w:t xml:space="preserve">e </w:t>
      </w:r>
      <w:r w:rsidR="00A92C14" w:rsidRPr="00A92C14">
        <w:rPr>
          <w:sz w:val="28"/>
          <w:szCs w:val="28"/>
        </w:rPr>
        <w:t>egli continuasse su quella via.</w:t>
      </w:r>
      <w:r>
        <w:rPr>
          <w:sz w:val="28"/>
          <w:szCs w:val="28"/>
        </w:rPr>
        <w:t xml:space="preserve"> Egli tuttavia avrebbe conserva</w:t>
      </w:r>
      <w:r w:rsidR="00A92C14" w:rsidRPr="00A92C14">
        <w:rPr>
          <w:sz w:val="28"/>
          <w:szCs w:val="28"/>
        </w:rPr>
        <w:t>to una certa confidenza con il padre Paolo, il quale gli scrisse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una lettera esortatoria per incoraggiarlo a non disperare della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propria salvezza, pur dovendo condurre la sua vita nel mondo.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Con espressioni efficaci il padre Paolo gli traccia tutto un programma di vita spirituale.</w:t>
      </w:r>
    </w:p>
    <w:p w:rsidR="00A92C14" w:rsidRDefault="009E4C5A" w:rsidP="00A92C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92C14" w:rsidRPr="00A92C14">
        <w:rPr>
          <w:sz w:val="28"/>
          <w:szCs w:val="28"/>
        </w:rPr>
        <w:t>“Procuri Girolamo di condurre una vita ordinata, raccolta,</w:t>
      </w:r>
      <w:r>
        <w:rPr>
          <w:sz w:val="28"/>
          <w:szCs w:val="28"/>
        </w:rPr>
        <w:t xml:space="preserve"> </w:t>
      </w:r>
      <w:r w:rsidR="00A92C14" w:rsidRPr="00A92C14">
        <w:rPr>
          <w:sz w:val="28"/>
          <w:szCs w:val="28"/>
        </w:rPr>
        <w:t>laboriosa, devota; fugga le cattive compagnie e le occasioni di</w:t>
      </w:r>
    </w:p>
    <w:p w:rsidR="00FE7EFC" w:rsidRPr="00FE7EFC" w:rsidRDefault="00FE7EFC" w:rsidP="00FE7E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pag. </w:t>
      </w:r>
      <w:r w:rsidRPr="00FE7EFC">
        <w:rPr>
          <w:sz w:val="28"/>
          <w:szCs w:val="28"/>
        </w:rPr>
        <w:t xml:space="preserve">52 </w:t>
      </w:r>
    </w:p>
    <w:p w:rsidR="00FE7EFC" w:rsidRPr="00FE7EFC" w:rsidRDefault="00FE7EFC" w:rsidP="00FE7EFC">
      <w:pPr>
        <w:jc w:val="both"/>
        <w:rPr>
          <w:sz w:val="28"/>
          <w:szCs w:val="28"/>
        </w:rPr>
      </w:pPr>
      <w:r w:rsidRPr="00FE7EFC">
        <w:rPr>
          <w:sz w:val="28"/>
          <w:szCs w:val="28"/>
        </w:rPr>
        <w:t>peccato, con la custodia attenta e perseverante dei propri sensi.</w:t>
      </w:r>
      <w:r>
        <w:rPr>
          <w:sz w:val="28"/>
          <w:szCs w:val="28"/>
        </w:rPr>
        <w:t xml:space="preserve"> </w:t>
      </w:r>
      <w:r w:rsidRPr="00FE7EFC">
        <w:rPr>
          <w:sz w:val="28"/>
          <w:szCs w:val="28"/>
        </w:rPr>
        <w:t>Col prossimo usi la massima carità; negli esercizi di devozioni</w:t>
      </w:r>
      <w:r>
        <w:rPr>
          <w:sz w:val="28"/>
          <w:szCs w:val="28"/>
        </w:rPr>
        <w:t xml:space="preserve"> </w:t>
      </w:r>
      <w:r w:rsidRPr="00FE7EFC">
        <w:rPr>
          <w:sz w:val="28"/>
          <w:szCs w:val="28"/>
        </w:rPr>
        <w:t>non ricerchi lo straordinario. I miracoli, le visioni, le estasi sono</w:t>
      </w:r>
      <w:r>
        <w:rPr>
          <w:sz w:val="28"/>
          <w:szCs w:val="28"/>
        </w:rPr>
        <w:t xml:space="preserve"> </w:t>
      </w:r>
      <w:r w:rsidRPr="00FE7EFC">
        <w:rPr>
          <w:sz w:val="28"/>
          <w:szCs w:val="28"/>
        </w:rPr>
        <w:t xml:space="preserve">doni di Dio; anziché questi doni cerchi sempre la grazia santificante che rende accetti a Dio, e </w:t>
      </w:r>
      <w:r>
        <w:rPr>
          <w:sz w:val="28"/>
          <w:szCs w:val="28"/>
        </w:rPr>
        <w:t>non concepisca neppure un senti</w:t>
      </w:r>
      <w:r w:rsidRPr="00FE7EFC">
        <w:rPr>
          <w:sz w:val="28"/>
          <w:szCs w:val="28"/>
        </w:rPr>
        <w:t>mento di invidia verso i privilegiati del Signore.</w:t>
      </w:r>
    </w:p>
    <w:p w:rsidR="00FE7EFC" w:rsidRDefault="00FE7EFC" w:rsidP="00FE7E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FE7EFC">
        <w:rPr>
          <w:sz w:val="28"/>
          <w:szCs w:val="28"/>
        </w:rPr>
        <w:t>Un confessore pieno di prudenza e di santo timore di Dio gli</w:t>
      </w:r>
      <w:r>
        <w:rPr>
          <w:sz w:val="28"/>
          <w:szCs w:val="28"/>
        </w:rPr>
        <w:t xml:space="preserve"> </w:t>
      </w:r>
      <w:r w:rsidRPr="00FE7EFC">
        <w:rPr>
          <w:sz w:val="28"/>
          <w:szCs w:val="28"/>
        </w:rPr>
        <w:t>farà da scorta nel difficile cammino della perfezione”</w:t>
      </w:r>
      <w:r>
        <w:rPr>
          <w:rStyle w:val="Rimandonotaapidipagina"/>
          <w:sz w:val="28"/>
          <w:szCs w:val="28"/>
        </w:rPr>
        <w:footnoteReference w:id="19"/>
      </w:r>
      <w:r w:rsidRPr="00FE7EFC">
        <w:rPr>
          <w:sz w:val="28"/>
          <w:szCs w:val="28"/>
        </w:rPr>
        <w:t>.</w:t>
      </w:r>
    </w:p>
    <w:p w:rsidR="00FE7EFC" w:rsidRDefault="00FE7EFC" w:rsidP="00FE7E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E7EFC">
        <w:rPr>
          <w:sz w:val="28"/>
          <w:szCs w:val="28"/>
        </w:rPr>
        <w:t>Vi e una singolare coincidenza fra queste norme e il ritratto</w:t>
      </w:r>
      <w:r>
        <w:rPr>
          <w:sz w:val="28"/>
          <w:szCs w:val="28"/>
        </w:rPr>
        <w:t xml:space="preserve"> </w:t>
      </w:r>
      <w:r w:rsidRPr="00FE7EFC">
        <w:rPr>
          <w:sz w:val="28"/>
          <w:szCs w:val="28"/>
        </w:rPr>
        <w:t>spirituale che di Girolamo “convertito” ci darà l</w:t>
      </w:r>
      <w:r>
        <w:rPr>
          <w:sz w:val="28"/>
          <w:szCs w:val="28"/>
        </w:rPr>
        <w:t>’</w:t>
      </w:r>
      <w:r w:rsidRPr="00FE7EFC">
        <w:rPr>
          <w:sz w:val="28"/>
          <w:szCs w:val="28"/>
        </w:rPr>
        <w:t>Anonimo</w:t>
      </w:r>
      <w:r>
        <w:rPr>
          <w:rStyle w:val="Rimandonotaapidipagina"/>
          <w:sz w:val="28"/>
          <w:szCs w:val="28"/>
        </w:rPr>
        <w:footnoteReference w:id="20"/>
      </w:r>
      <w:r w:rsidRPr="00FE7EFC">
        <w:rPr>
          <w:sz w:val="28"/>
          <w:szCs w:val="28"/>
        </w:rPr>
        <w:t>.</w:t>
      </w:r>
    </w:p>
    <w:p w:rsidR="00A57DA9" w:rsidRDefault="00A57DA9" w:rsidP="00FE7EFC">
      <w:pPr>
        <w:jc w:val="both"/>
        <w:rPr>
          <w:sz w:val="28"/>
          <w:szCs w:val="28"/>
        </w:rPr>
      </w:pPr>
    </w:p>
    <w:p w:rsidR="00814C84" w:rsidRDefault="00814C84" w:rsidP="00FE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 w:rsidR="00A57DA9" w:rsidRPr="00814C84">
        <w:rPr>
          <w:sz w:val="28"/>
          <w:szCs w:val="28"/>
        </w:rPr>
        <w:t xml:space="preserve">AGGIUNTA </w:t>
      </w:r>
      <w:r>
        <w:rPr>
          <w:sz w:val="28"/>
          <w:szCs w:val="28"/>
        </w:rPr>
        <w:t>n.</w:t>
      </w:r>
      <w:r w:rsidR="00A57DA9" w:rsidRPr="00814C84">
        <w:rPr>
          <w:sz w:val="28"/>
          <w:szCs w:val="28"/>
        </w:rPr>
        <w:t xml:space="preserve">1, </w:t>
      </w:r>
    </w:p>
    <w:p w:rsidR="00A57DA9" w:rsidRDefault="00814C84" w:rsidP="00FE7EF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="00A57DA9" w:rsidRPr="00814C84">
        <w:rPr>
          <w:i/>
          <w:sz w:val="28"/>
          <w:szCs w:val="28"/>
        </w:rPr>
        <w:t>Cristina Miani e suo figlio, Gaspare da Molin</w:t>
      </w:r>
    </w:p>
    <w:p w:rsidR="00814C84" w:rsidRDefault="00814C84" w:rsidP="00FE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 w:rsidRPr="00814C84">
        <w:rPr>
          <w:sz w:val="28"/>
          <w:szCs w:val="28"/>
        </w:rPr>
        <w:t xml:space="preserve">AGGIUNTA 2, </w:t>
      </w:r>
    </w:p>
    <w:p w:rsidR="00814C84" w:rsidRDefault="00814C84" w:rsidP="00FE7EF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Secondo </w:t>
      </w:r>
      <w:r w:rsidR="001509CF">
        <w:rPr>
          <w:sz w:val="28"/>
          <w:szCs w:val="28"/>
        </w:rPr>
        <w:t>B</w:t>
      </w:r>
      <w:r>
        <w:rPr>
          <w:sz w:val="28"/>
          <w:szCs w:val="28"/>
        </w:rPr>
        <w:t xml:space="preserve">runelli, </w:t>
      </w:r>
      <w:r w:rsidRPr="00814C84">
        <w:rPr>
          <w:i/>
          <w:sz w:val="28"/>
          <w:szCs w:val="28"/>
        </w:rPr>
        <w:t>Presentazione alla Balla d’oro dei fratelli Miani</w:t>
      </w:r>
    </w:p>
    <w:p w:rsidR="00814C84" w:rsidRDefault="00814C84" w:rsidP="00FE7E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Cfr. </w:t>
      </w:r>
      <w:r w:rsidRPr="00814C84">
        <w:rPr>
          <w:sz w:val="28"/>
          <w:szCs w:val="28"/>
        </w:rPr>
        <w:t xml:space="preserve">AGGIUNTA </w:t>
      </w:r>
      <w:r>
        <w:rPr>
          <w:sz w:val="28"/>
          <w:szCs w:val="28"/>
        </w:rPr>
        <w:t xml:space="preserve">n. </w:t>
      </w:r>
      <w:r w:rsidRPr="00814C84">
        <w:rPr>
          <w:sz w:val="28"/>
          <w:szCs w:val="28"/>
        </w:rPr>
        <w:t xml:space="preserve">4, </w:t>
      </w:r>
    </w:p>
    <w:p w:rsidR="00814C84" w:rsidRDefault="00814C84" w:rsidP="00FE7EFC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14C84">
        <w:rPr>
          <w:i/>
          <w:sz w:val="28"/>
          <w:szCs w:val="28"/>
        </w:rPr>
        <w:t xml:space="preserve">Questione della Epistola hortatoria </w:t>
      </w:r>
    </w:p>
    <w:p w:rsidR="001509CF" w:rsidRDefault="001509CF" w:rsidP="00FE7EFC">
      <w:pPr>
        <w:jc w:val="both"/>
        <w:rPr>
          <w:sz w:val="28"/>
          <w:szCs w:val="28"/>
        </w:rPr>
      </w:pPr>
      <w:r>
        <w:rPr>
          <w:sz w:val="28"/>
          <w:szCs w:val="28"/>
        </w:rPr>
        <w:t>Cfr. AGGIUNTA n. 5</w:t>
      </w:r>
    </w:p>
    <w:p w:rsidR="001509CF" w:rsidRDefault="001509CF" w:rsidP="001509CF">
      <w:pPr>
        <w:jc w:val="both"/>
        <w:rPr>
          <w:sz w:val="28"/>
          <w:szCs w:val="28"/>
        </w:rPr>
      </w:pPr>
      <w:r w:rsidRPr="001509CF">
        <w:rPr>
          <w:sz w:val="28"/>
          <w:szCs w:val="28"/>
        </w:rPr>
        <w:t xml:space="preserve"> Secondo Brunelli, </w:t>
      </w:r>
      <w:r w:rsidRPr="001509CF">
        <w:rPr>
          <w:i/>
          <w:sz w:val="28"/>
          <w:szCs w:val="28"/>
        </w:rPr>
        <w:t>Parentele Miani, Molin, Basadonna ed una testimonianza del 1624</w:t>
      </w:r>
      <w:r w:rsidRPr="001509CF">
        <w:rPr>
          <w:sz w:val="28"/>
          <w:szCs w:val="28"/>
        </w:rPr>
        <w:t>, 6.1.2017</w:t>
      </w:r>
    </w:p>
    <w:p w:rsidR="003D3D68" w:rsidRDefault="003D3D68" w:rsidP="001509CF">
      <w:pPr>
        <w:jc w:val="both"/>
        <w:rPr>
          <w:sz w:val="28"/>
          <w:szCs w:val="28"/>
        </w:rPr>
      </w:pPr>
      <w:r>
        <w:rPr>
          <w:sz w:val="28"/>
          <w:szCs w:val="28"/>
        </w:rPr>
        <w:t>Cfr. AGGIUNTA n. 6</w:t>
      </w:r>
    </w:p>
    <w:p w:rsidR="003D3D68" w:rsidRDefault="003D3D68" w:rsidP="001509CF">
      <w:pPr>
        <w:jc w:val="both"/>
        <w:rPr>
          <w:sz w:val="28"/>
          <w:szCs w:val="28"/>
        </w:rPr>
      </w:pPr>
      <w:r w:rsidRPr="003D3D68">
        <w:rPr>
          <w:sz w:val="28"/>
          <w:szCs w:val="28"/>
        </w:rPr>
        <w:t>Secondo Brunelli,</w:t>
      </w:r>
      <w:r w:rsidRPr="003D3D68">
        <w:rPr>
          <w:i/>
          <w:sz w:val="28"/>
          <w:szCs w:val="28"/>
        </w:rPr>
        <w:t xml:space="preserve"> Luca Molin, testimone di S. Girolamo, l’11.9.1628, </w:t>
      </w:r>
      <w:r w:rsidRPr="003D3D68">
        <w:rPr>
          <w:sz w:val="28"/>
          <w:szCs w:val="28"/>
        </w:rPr>
        <w:t>11.1.1628</w:t>
      </w:r>
    </w:p>
    <w:p w:rsidR="003D3D68" w:rsidRDefault="003D3D68" w:rsidP="001509CF">
      <w:pPr>
        <w:jc w:val="both"/>
        <w:rPr>
          <w:sz w:val="28"/>
          <w:szCs w:val="28"/>
        </w:rPr>
      </w:pPr>
      <w:r>
        <w:rPr>
          <w:sz w:val="28"/>
          <w:szCs w:val="28"/>
        </w:rPr>
        <w:t>Cfr. AGGIUNTA n. 7</w:t>
      </w:r>
    </w:p>
    <w:p w:rsidR="003D3D68" w:rsidRDefault="003D3D68" w:rsidP="001509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3D3D68">
        <w:rPr>
          <w:i/>
          <w:sz w:val="28"/>
          <w:szCs w:val="28"/>
        </w:rPr>
        <w:t>Cristina testamento 1519</w:t>
      </w:r>
      <w:r w:rsidRPr="003D3D68">
        <w:rPr>
          <w:sz w:val="28"/>
          <w:szCs w:val="28"/>
        </w:rPr>
        <w:t>, 1.8.2020</w:t>
      </w:r>
    </w:p>
    <w:p w:rsidR="009D2902" w:rsidRDefault="009D2902" w:rsidP="001509CF">
      <w:pPr>
        <w:jc w:val="both"/>
        <w:rPr>
          <w:sz w:val="28"/>
          <w:szCs w:val="28"/>
        </w:rPr>
      </w:pPr>
      <w:r>
        <w:rPr>
          <w:sz w:val="28"/>
          <w:szCs w:val="28"/>
        </w:rPr>
        <w:t>Cfr. AGGIUNTA n. 8</w:t>
      </w:r>
    </w:p>
    <w:p w:rsidR="009D2902" w:rsidRDefault="009D2902" w:rsidP="001509CF">
      <w:pPr>
        <w:jc w:val="both"/>
        <w:rPr>
          <w:sz w:val="28"/>
          <w:szCs w:val="28"/>
        </w:rPr>
      </w:pPr>
      <w:r w:rsidRPr="009D2902">
        <w:rPr>
          <w:sz w:val="28"/>
          <w:szCs w:val="28"/>
        </w:rPr>
        <w:t>Secondo Brunelli,</w:t>
      </w:r>
      <w:r w:rsidRPr="009D2902">
        <w:rPr>
          <w:i/>
          <w:sz w:val="28"/>
          <w:szCs w:val="28"/>
        </w:rPr>
        <w:t xml:space="preserve"> Nascita del Miani, </w:t>
      </w:r>
      <w:r w:rsidRPr="009D2902">
        <w:rPr>
          <w:sz w:val="28"/>
          <w:szCs w:val="28"/>
        </w:rPr>
        <w:t>9.10.2019</w:t>
      </w:r>
    </w:p>
    <w:p w:rsidR="006807C8" w:rsidRDefault="006807C8" w:rsidP="001509CF">
      <w:pPr>
        <w:jc w:val="both"/>
        <w:rPr>
          <w:sz w:val="28"/>
          <w:szCs w:val="28"/>
        </w:rPr>
      </w:pPr>
      <w:r>
        <w:rPr>
          <w:sz w:val="28"/>
          <w:szCs w:val="28"/>
        </w:rPr>
        <w:t>Cfr. AGGIUNTA n. 9</w:t>
      </w:r>
    </w:p>
    <w:p w:rsidR="006807C8" w:rsidRDefault="006807C8" w:rsidP="001509CF">
      <w:pPr>
        <w:jc w:val="both"/>
        <w:rPr>
          <w:sz w:val="28"/>
          <w:szCs w:val="28"/>
        </w:rPr>
      </w:pPr>
      <w:r w:rsidRPr="006807C8">
        <w:rPr>
          <w:sz w:val="28"/>
          <w:szCs w:val="28"/>
        </w:rPr>
        <w:t>Secondo Brunelli,</w:t>
      </w:r>
      <w:r w:rsidRPr="006807C8">
        <w:rPr>
          <w:i/>
          <w:sz w:val="28"/>
          <w:szCs w:val="28"/>
        </w:rPr>
        <w:t xml:space="preserve"> Miani matrimoni, </w:t>
      </w:r>
      <w:r w:rsidRPr="006807C8">
        <w:rPr>
          <w:sz w:val="28"/>
          <w:szCs w:val="28"/>
        </w:rPr>
        <w:t>2.10.2013</w:t>
      </w:r>
    </w:p>
    <w:p w:rsidR="006807C8" w:rsidRDefault="006807C8" w:rsidP="001509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Cfr. AGGIUNTA n. 10</w:t>
      </w:r>
    </w:p>
    <w:p w:rsidR="006807C8" w:rsidRPr="003D3D68" w:rsidRDefault="006807C8" w:rsidP="001509CF">
      <w:pPr>
        <w:jc w:val="both"/>
        <w:rPr>
          <w:i/>
          <w:sz w:val="28"/>
          <w:szCs w:val="28"/>
        </w:rPr>
      </w:pPr>
      <w:r w:rsidRPr="006807C8">
        <w:rPr>
          <w:sz w:val="28"/>
          <w:szCs w:val="28"/>
        </w:rPr>
        <w:t>Secondo Brunelli</w:t>
      </w:r>
      <w:r w:rsidRPr="006807C8">
        <w:rPr>
          <w:i/>
          <w:sz w:val="28"/>
          <w:szCs w:val="28"/>
        </w:rPr>
        <w:t xml:space="preserve">, Miani Molin Caterina, </w:t>
      </w:r>
      <w:r w:rsidRPr="006807C8">
        <w:rPr>
          <w:sz w:val="28"/>
          <w:szCs w:val="28"/>
        </w:rPr>
        <w:t>16.9.2011</w:t>
      </w:r>
    </w:p>
    <w:p w:rsidR="00A57DA9" w:rsidRDefault="00A57DA9" w:rsidP="00A57DA9">
      <w:pPr>
        <w:jc w:val="center"/>
        <w:rPr>
          <w:sz w:val="28"/>
          <w:szCs w:val="28"/>
          <w:u w:val="single"/>
        </w:rPr>
      </w:pPr>
    </w:p>
    <w:p w:rsidR="00A57DA9" w:rsidRDefault="00A57DA9" w:rsidP="00A57DA9">
      <w:pPr>
        <w:jc w:val="center"/>
        <w:rPr>
          <w:sz w:val="28"/>
          <w:szCs w:val="28"/>
          <w:u w:val="single"/>
        </w:rPr>
      </w:pPr>
    </w:p>
    <w:p w:rsidR="001509CF" w:rsidRDefault="001509CF">
      <w:pPr>
        <w:jc w:val="center"/>
        <w:rPr>
          <w:sz w:val="28"/>
          <w:szCs w:val="28"/>
          <w:u w:val="single"/>
        </w:rPr>
      </w:pPr>
    </w:p>
    <w:sectPr w:rsidR="001509CF" w:rsidSect="007D5186">
      <w:headerReference w:type="default" r:id="rId8"/>
      <w:pgSz w:w="11906" w:h="16838"/>
      <w:pgMar w:top="1417" w:right="22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B8" w:rsidRDefault="00E973B8" w:rsidP="00C16558">
      <w:pPr>
        <w:spacing w:after="0" w:line="240" w:lineRule="auto"/>
      </w:pPr>
      <w:r>
        <w:separator/>
      </w:r>
    </w:p>
  </w:endnote>
  <w:endnote w:type="continuationSeparator" w:id="0">
    <w:p w:rsidR="00E973B8" w:rsidRDefault="00E973B8" w:rsidP="00C16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B8" w:rsidRDefault="00E973B8" w:rsidP="00C16558">
      <w:pPr>
        <w:spacing w:after="0" w:line="240" w:lineRule="auto"/>
      </w:pPr>
      <w:r>
        <w:separator/>
      </w:r>
    </w:p>
  </w:footnote>
  <w:footnote w:type="continuationSeparator" w:id="0">
    <w:p w:rsidR="00E973B8" w:rsidRDefault="00E973B8" w:rsidP="00C16558">
      <w:pPr>
        <w:spacing w:after="0" w:line="240" w:lineRule="auto"/>
      </w:pPr>
      <w:r>
        <w:continuationSeparator/>
      </w:r>
    </w:p>
  </w:footnote>
  <w:footnote w:id="1">
    <w:p w:rsidR="00C16558" w:rsidRDefault="00C16558" w:rsidP="006F37A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 (17)</w:t>
      </w:r>
      <w:r w:rsidR="00D4236B">
        <w:t xml:space="preserve"> </w:t>
      </w:r>
      <w:r w:rsidR="00D4236B" w:rsidRPr="00D4236B">
        <w:t>Questo periodo della vita di Girolamo, che abbraccia i primi venticinque anni, è assai scarso di notizie; ciò ch</w:t>
      </w:r>
      <w:r w:rsidR="003745C0">
        <w:t>e</w:t>
      </w:r>
      <w:r w:rsidR="00D4236B" w:rsidRPr="00D4236B">
        <w:t xml:space="preserve"> ha spinto quasi tutti i biografi (cfr. ad esempio il Landini, op. cit., pagg. 265-270) a supplire con induzioni, quasi -sempre infondate, quello che i documenti non danno. Dela gioventù di Girolamo ha seritto con finezza, ma senza novità di notizie, G. SALVATORI, Della gioventù di san Girolamo Emiliani, Cenno, Roma 1921 e in Rivista della Congregazione Samasca, XIIi (1934), pagg. 195 segg.; B. SEGALLA, Intorno alla gioventù di san Girolamo , in Rivista C. Som., III (l926), pagg. 35-41.</w:t>
      </w:r>
    </w:p>
  </w:footnote>
  <w:footnote w:id="2">
    <w:p w:rsidR="00D4236B" w:rsidRDefault="00D4236B">
      <w:pPr>
        <w:pStyle w:val="Testonotaapidipagina"/>
      </w:pPr>
      <w:r>
        <w:rPr>
          <w:rStyle w:val="Rimandonotaapidipagina"/>
        </w:rPr>
        <w:footnoteRef/>
      </w:r>
      <w:r>
        <w:t xml:space="preserve"> (18) </w:t>
      </w:r>
      <w:r w:rsidRPr="00D4236B">
        <w:t>A.S. VEN., Advogaria di</w:t>
      </w:r>
      <w:r>
        <w:t xml:space="preserve"> </w:t>
      </w:r>
      <w:r w:rsidRPr="00D4236B">
        <w:t>Cam</w:t>
      </w:r>
      <w:r>
        <w:t xml:space="preserve">un, reg. </w:t>
      </w:r>
      <w:r w:rsidRPr="00D4236B">
        <w:t>Mat</w:t>
      </w:r>
      <w:r>
        <w:t>ri</w:t>
      </w:r>
      <w:r w:rsidRPr="00D4236B">
        <w:t>m</w:t>
      </w:r>
      <w:r>
        <w:t>on</w:t>
      </w:r>
      <w:r w:rsidRPr="00D4236B">
        <w:t>i di nobili veneti, pag. 211 v</w:t>
      </w:r>
      <w:r>
        <w:t>.</w:t>
      </w:r>
    </w:p>
  </w:footnote>
  <w:footnote w:id="3">
    <w:p w:rsidR="001638D3" w:rsidRDefault="001638D3" w:rsidP="001638D3">
      <w:pPr>
        <w:pStyle w:val="Testonotaapidipagina"/>
      </w:pPr>
      <w:r>
        <w:rPr>
          <w:rStyle w:val="Rimandonotaapidipagina"/>
        </w:rPr>
        <w:footnoteRef/>
      </w:r>
      <w:r>
        <w:t xml:space="preserve"> (19)  Sull’anno di nascita, che per l tradizione  è sempre stato l’anno 1481, v. Appendice prima.</w:t>
      </w:r>
    </w:p>
  </w:footnote>
  <w:footnote w:id="4">
    <w:p w:rsidR="001562D9" w:rsidRDefault="001562D9">
      <w:pPr>
        <w:pStyle w:val="Testonotaapidipagina"/>
      </w:pPr>
      <w:r>
        <w:rPr>
          <w:rStyle w:val="Rimandonotaapidipagina"/>
        </w:rPr>
        <w:footnoteRef/>
      </w:r>
      <w:r>
        <w:t xml:space="preserve"> (20) </w:t>
      </w:r>
      <w:r w:rsidR="007217C1">
        <w:t>Cfr. C. CADo</w:t>
      </w:r>
      <w:r w:rsidRPr="001562D9">
        <w:t>RI</w:t>
      </w:r>
      <w:r w:rsidR="007217C1">
        <w:t>N</w:t>
      </w:r>
      <w:r w:rsidRPr="001562D9">
        <w:t>, La</w:t>
      </w:r>
      <w:r w:rsidR="007217C1">
        <w:t xml:space="preserve"> c</w:t>
      </w:r>
      <w:r w:rsidRPr="001562D9">
        <w:t>a</w:t>
      </w:r>
      <w:r w:rsidR="007217C1">
        <w:t>s</w:t>
      </w:r>
      <w:r w:rsidRPr="001562D9">
        <w:t xml:space="preserve">a di </w:t>
      </w:r>
      <w:r w:rsidR="007217C1">
        <w:t>–</w:t>
      </w:r>
      <w:r w:rsidRPr="001562D9">
        <w:t>iroiam</w:t>
      </w:r>
      <w:r w:rsidR="007217C1">
        <w:t xml:space="preserve">o Miani, </w:t>
      </w:r>
      <w:r w:rsidRPr="001562D9">
        <w:t>in Vaglio di Venezia, IV</w:t>
      </w:r>
      <w:r w:rsidR="007217C1">
        <w:t xml:space="preserve"> (1939) n. 7, 16 febbraio.</w:t>
      </w:r>
    </w:p>
  </w:footnote>
  <w:footnote w:id="5">
    <w:p w:rsidR="00BC5215" w:rsidRDefault="00BC5215">
      <w:pPr>
        <w:pStyle w:val="Testonotaapidipagina"/>
      </w:pPr>
      <w:r>
        <w:rPr>
          <w:rStyle w:val="Rimandonotaapidipagina"/>
        </w:rPr>
        <w:footnoteRef/>
      </w:r>
      <w:r>
        <w:t xml:space="preserve"> (21) </w:t>
      </w:r>
      <w:r w:rsidRPr="00BC5215">
        <w:t>A.S.VEN., Avoga</w:t>
      </w:r>
      <w:r>
        <w:t>ria di</w:t>
      </w:r>
      <w:r w:rsidRPr="00BC5215">
        <w:t xml:space="preserve"> </w:t>
      </w:r>
      <w:r>
        <w:t>omun, r</w:t>
      </w:r>
      <w:r w:rsidRPr="00BC5215">
        <w:t>egis</w:t>
      </w:r>
      <w:r>
        <w:t>ro Matrimoni</w:t>
      </w:r>
      <w:r w:rsidRPr="00BC5215">
        <w:t>, pag. 231.</w:t>
      </w:r>
    </w:p>
  </w:footnote>
  <w:footnote w:id="6">
    <w:p w:rsidR="003745C0" w:rsidRDefault="003745C0">
      <w:pPr>
        <w:pStyle w:val="Testonotaapidipagina"/>
      </w:pPr>
      <w:r>
        <w:rPr>
          <w:rStyle w:val="Rimandonotaapidipagina"/>
        </w:rPr>
        <w:footnoteRef/>
      </w:r>
      <w:r>
        <w:t xml:space="preserve"> (22) </w:t>
      </w:r>
      <w:r w:rsidRPr="003745C0">
        <w:t>A.S. VEN., Avagaria di Comun, Balla d’o.ro, reg. III, c. 272.</w:t>
      </w:r>
    </w:p>
  </w:footnote>
  <w:footnote w:id="7">
    <w:p w:rsidR="007D5186" w:rsidRDefault="007D5186">
      <w:pPr>
        <w:pStyle w:val="Testonotaapidipagina"/>
      </w:pPr>
      <w:r>
        <w:rPr>
          <w:rStyle w:val="Rimandonotaapidipagina"/>
        </w:rPr>
        <w:footnoteRef/>
      </w:r>
      <w:r>
        <w:t xml:space="preserve"> (23) </w:t>
      </w:r>
      <w:r w:rsidRPr="007D5186">
        <w:t>A.SVEN. Avagaria diComun, Balla d’oro, reg. III, c. 272.</w:t>
      </w:r>
    </w:p>
  </w:footnote>
  <w:footnote w:id="8">
    <w:p w:rsidR="007D5186" w:rsidRDefault="007D5186" w:rsidP="007D5186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(24) La notizia ci e riferita dal genealogista BARBARo nei suoi Arbori citt. Non è</w:t>
      </w:r>
    </w:p>
    <w:p w:rsidR="007D5186" w:rsidRDefault="007D5186" w:rsidP="007D5186">
      <w:pPr>
        <w:pStyle w:val="Testonotaapidipagina"/>
        <w:jc w:val="both"/>
      </w:pPr>
      <w:r>
        <w:t>dato conoscere per ora di più. Il SANTINELLI (op. cit., pag. 2 nota 4) mette in dubbio che si tratti del padre di Girolamo: “malamente confuso da alcuni con Angiolo di Luca di Angiolo di Marco (fratello di Girolamo) che</w:t>
      </w:r>
      <w:r w:rsidR="006F37A0">
        <w:t xml:space="preserve"> </w:t>
      </w:r>
      <w:r>
        <w:t>nel</w:t>
      </w:r>
      <w:r w:rsidR="006F37A0">
        <w:t>l’</w:t>
      </w:r>
      <w:r>
        <w:t xml:space="preserve">anno 1604 restò ucciso in un villaggio del Padoano". Ma le circostanze </w:t>
      </w:r>
      <w:r w:rsidRPr="007D5186">
        <w:t>sono assai diverse e non vedo come possa essere stata fatta confusione.</w:t>
      </w:r>
      <w:r>
        <w:t xml:space="preserve"> </w:t>
      </w:r>
      <w:r w:rsidRPr="007D5186">
        <w:t>Tanto più che il Barbaro, morto nel 1570, non poteva certamente riferire un</w:t>
      </w:r>
      <w:r>
        <w:t xml:space="preserve"> </w:t>
      </w:r>
      <w:r w:rsidRPr="007D5186">
        <w:t>fatto del 1604. A meno che la notizia non sia stata inserita da qualcuno dei</w:t>
      </w:r>
      <w:r>
        <w:t xml:space="preserve"> suoi infelici integratori e correttori. Penso pero che si tratti, più che altro, di buona volontà del Santinelli.</w:t>
      </w:r>
    </w:p>
  </w:footnote>
  <w:footnote w:id="9">
    <w:p w:rsidR="006F37A0" w:rsidRDefault="006F37A0">
      <w:pPr>
        <w:pStyle w:val="Testonotaapidipagina"/>
      </w:pPr>
      <w:r>
        <w:rPr>
          <w:rStyle w:val="Rimandonotaapidipagina"/>
        </w:rPr>
        <w:footnoteRef/>
      </w:r>
      <w:r>
        <w:t xml:space="preserve"> (25) </w:t>
      </w:r>
      <w:r w:rsidRPr="006F37A0">
        <w:t>M. S</w:t>
      </w:r>
      <w:r>
        <w:t>ANUDO</w:t>
      </w:r>
      <w:r w:rsidRPr="006F37A0">
        <w:t>, Diari citt., t. III, col. 250.</w:t>
      </w:r>
    </w:p>
  </w:footnote>
  <w:footnote w:id="10">
    <w:p w:rsidR="006F37A0" w:rsidRDefault="006F37A0">
      <w:pPr>
        <w:pStyle w:val="Testonotaapidipagina"/>
      </w:pPr>
      <w:r>
        <w:rPr>
          <w:rStyle w:val="Rimandonotaapidipagina"/>
        </w:rPr>
        <w:footnoteRef/>
      </w:r>
      <w:r>
        <w:t xml:space="preserve"> (26) </w:t>
      </w:r>
      <w:r w:rsidRPr="006F37A0">
        <w:t>A.S.VEN., Avogaria di Comun, reg. Balla d’oro, IV, c. 301.</w:t>
      </w:r>
    </w:p>
  </w:footnote>
  <w:footnote w:id="11">
    <w:p w:rsidR="006F37A0" w:rsidRDefault="006F37A0">
      <w:pPr>
        <w:pStyle w:val="Testonotaapidipagina"/>
      </w:pPr>
      <w:r>
        <w:rPr>
          <w:rStyle w:val="Rimandonotaapidipagina"/>
        </w:rPr>
        <w:footnoteRef/>
      </w:r>
      <w:r>
        <w:t xml:space="preserve"> (27) </w:t>
      </w:r>
      <w:r w:rsidRPr="006F37A0">
        <w:t>Ibidem, reg. matrimoni cit., pag. 211 v.</w:t>
      </w:r>
    </w:p>
  </w:footnote>
  <w:footnote w:id="12">
    <w:p w:rsidR="00A92C14" w:rsidRDefault="00A92C14">
      <w:pPr>
        <w:pStyle w:val="Testonotaapidipagina"/>
      </w:pPr>
      <w:r>
        <w:rPr>
          <w:rStyle w:val="Rimandonotaapidipagina"/>
        </w:rPr>
        <w:footnoteRef/>
      </w:r>
      <w:r>
        <w:t xml:space="preserve"> (28) </w:t>
      </w:r>
      <w:r w:rsidRPr="00A92C14">
        <w:t>M. SANUDO, Diari citt., t. V, coll. 715,716.</w:t>
      </w:r>
    </w:p>
  </w:footnote>
  <w:footnote w:id="13">
    <w:p w:rsidR="00A92C14" w:rsidRDefault="00A92C14">
      <w:pPr>
        <w:pStyle w:val="Testonotaapidipagina"/>
      </w:pPr>
      <w:r>
        <w:rPr>
          <w:rStyle w:val="Rimandonotaapidipagina"/>
        </w:rPr>
        <w:footnoteRef/>
      </w:r>
      <w:r>
        <w:t xml:space="preserve"> (29) </w:t>
      </w:r>
      <w:r w:rsidRPr="00A92C14">
        <w:t>Ibidem, reg. Balla d'oro, IV, c. 301.</w:t>
      </w:r>
    </w:p>
  </w:footnote>
  <w:footnote w:id="14">
    <w:p w:rsidR="00FB6BE5" w:rsidRDefault="00FB6BE5">
      <w:pPr>
        <w:pStyle w:val="Testonotaapidipagina"/>
      </w:pPr>
      <w:r>
        <w:rPr>
          <w:rStyle w:val="Rimandonotaapidipagina"/>
        </w:rPr>
        <w:footnoteRef/>
      </w:r>
      <w:r>
        <w:t xml:space="preserve"> (30) ANONIMO, 1. Cit.</w:t>
      </w:r>
    </w:p>
  </w:footnote>
  <w:footnote w:id="15">
    <w:p w:rsidR="00FB6BE5" w:rsidRDefault="00FB6BE5" w:rsidP="00FB6BE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(31) </w:t>
      </w:r>
      <w:r w:rsidRPr="00FB6BE5">
        <w:t>Per la vita veneziana in quegli anni cfr. Yriarte, La vie d’un patricien de Venise au XVlIme siècle, Parigi 1874; P. Momenti, La storie di Venezia nella vim privata, Torino 1880, parte II. E poi gli impareggiabili Diari del Sanudo che ci accompagnano proprio dalla fine del sec. XV al 1534.</w:t>
      </w:r>
    </w:p>
  </w:footnote>
  <w:footnote w:id="16">
    <w:p w:rsidR="00FB6BE5" w:rsidRDefault="00FB6BE5">
      <w:pPr>
        <w:pStyle w:val="Testonotaapidipagina"/>
      </w:pPr>
      <w:r>
        <w:rPr>
          <w:rStyle w:val="Rimandonotaapidipagina"/>
        </w:rPr>
        <w:footnoteRef/>
      </w:r>
      <w:r>
        <w:t xml:space="preserve"> (32) ANONIMO , l. cit.</w:t>
      </w:r>
    </w:p>
  </w:footnote>
  <w:footnote w:id="17">
    <w:p w:rsidR="009E4C5A" w:rsidRDefault="009E4C5A" w:rsidP="009E4C5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(33) </w:t>
      </w:r>
      <w:r w:rsidRPr="009E4C5A">
        <w:t>PROCESSI APOSTOLICI, processo veneto, fol. 103, v., Sommario pag. 7.</w:t>
      </w:r>
    </w:p>
  </w:footnote>
  <w:footnote w:id="18">
    <w:p w:rsidR="009E4C5A" w:rsidRDefault="009E4C5A" w:rsidP="009E4C5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(34) </w:t>
      </w:r>
      <w:r w:rsidRPr="009E4C5A">
        <w:t>Quanto segue si fonda sulla Epistola exhortatoria del padre Paolo, canonico regolare della Carità, diretta all’adolescente Girolamo Miani. Essa è contenuta in un piccolo codice della Biblioteca Ambrosiana, segnato F 6 sup. Nella appendice (v.) tratto della questione della identificazione del Girolamo Miani destinatario dell’epistola e concludo che, allo stato attuale delle ricerche, l’attribuzione al nostro Girolamo eèquella che si presenta più probabile.</w:t>
      </w:r>
    </w:p>
  </w:footnote>
  <w:footnote w:id="19">
    <w:p w:rsidR="00FE7EFC" w:rsidRDefault="00FE7EFC" w:rsidP="00FE7EF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(35) </w:t>
      </w:r>
      <w:r w:rsidRPr="00FE7EFC">
        <w:t>C. CASTIGLI</w:t>
      </w:r>
      <w:r w:rsidR="004300DA">
        <w:t>O</w:t>
      </w:r>
      <w:r w:rsidRPr="00FE7EFC">
        <w:t>NI, Un codice appartenuto a san Girolamo Emiliani, in Rivista</w:t>
      </w:r>
      <w:r>
        <w:t xml:space="preserve"> C. Som., XII (1936), pag. 208.</w:t>
      </w:r>
    </w:p>
  </w:footnote>
  <w:footnote w:id="20">
    <w:p w:rsidR="00FE7EFC" w:rsidRDefault="00FE7EFC" w:rsidP="00242EB3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(36) </w:t>
      </w:r>
      <w:r w:rsidR="00242EB3" w:rsidRPr="00242EB3">
        <w:t>V. in questo stesso capitolo al n. 13 “Quando piacque al benignissimo Iddio di perfettamente rnuovergli il cuore", pagg. 33-36.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529313"/>
      <w:docPartObj>
        <w:docPartGallery w:val="Page Numbers (Top of Page)"/>
        <w:docPartUnique/>
      </w:docPartObj>
    </w:sdtPr>
    <w:sdtEndPr/>
    <w:sdtContent>
      <w:p w:rsidR="001B22A1" w:rsidRDefault="001B22A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5C2">
          <w:rPr>
            <w:noProof/>
          </w:rPr>
          <w:t>1</w:t>
        </w:r>
        <w:r>
          <w:fldChar w:fldCharType="end"/>
        </w:r>
      </w:p>
    </w:sdtContent>
  </w:sdt>
  <w:p w:rsidR="001B22A1" w:rsidRDefault="001B22A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3"/>
    <w:rsid w:val="0002254C"/>
    <w:rsid w:val="0006568E"/>
    <w:rsid w:val="000A702F"/>
    <w:rsid w:val="001509CF"/>
    <w:rsid w:val="001562D9"/>
    <w:rsid w:val="001638D3"/>
    <w:rsid w:val="001B22A1"/>
    <w:rsid w:val="001F1C21"/>
    <w:rsid w:val="00242EB3"/>
    <w:rsid w:val="002D4317"/>
    <w:rsid w:val="003102E5"/>
    <w:rsid w:val="003552F8"/>
    <w:rsid w:val="003745C0"/>
    <w:rsid w:val="003D3D68"/>
    <w:rsid w:val="003E0D61"/>
    <w:rsid w:val="004300DA"/>
    <w:rsid w:val="004529B1"/>
    <w:rsid w:val="004E5033"/>
    <w:rsid w:val="00630B2F"/>
    <w:rsid w:val="00653853"/>
    <w:rsid w:val="006625C2"/>
    <w:rsid w:val="006807C8"/>
    <w:rsid w:val="006C02E6"/>
    <w:rsid w:val="006F37A0"/>
    <w:rsid w:val="007217C1"/>
    <w:rsid w:val="00777C03"/>
    <w:rsid w:val="00792FE6"/>
    <w:rsid w:val="007A1841"/>
    <w:rsid w:val="007C5DCA"/>
    <w:rsid w:val="007D5186"/>
    <w:rsid w:val="00814C84"/>
    <w:rsid w:val="00861791"/>
    <w:rsid w:val="008D72C6"/>
    <w:rsid w:val="009D2902"/>
    <w:rsid w:val="009E4C5A"/>
    <w:rsid w:val="00A57DA9"/>
    <w:rsid w:val="00A92C14"/>
    <w:rsid w:val="00BC5215"/>
    <w:rsid w:val="00C16558"/>
    <w:rsid w:val="00C97837"/>
    <w:rsid w:val="00D4236B"/>
    <w:rsid w:val="00D95EAB"/>
    <w:rsid w:val="00E36999"/>
    <w:rsid w:val="00E973B8"/>
    <w:rsid w:val="00F61537"/>
    <w:rsid w:val="00F63EC4"/>
    <w:rsid w:val="00FB6BE5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5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5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655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2A1"/>
  </w:style>
  <w:style w:type="paragraph" w:styleId="Pidipagina">
    <w:name w:val="footer"/>
    <w:basedOn w:val="Normale"/>
    <w:link w:val="PidipaginaCarattere"/>
    <w:uiPriority w:val="99"/>
    <w:unhideWhenUsed/>
    <w:rsid w:val="001B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2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55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55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655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DA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2A1"/>
  </w:style>
  <w:style w:type="paragraph" w:styleId="Pidipagina">
    <w:name w:val="footer"/>
    <w:basedOn w:val="Normale"/>
    <w:link w:val="PidipaginaCarattere"/>
    <w:uiPriority w:val="99"/>
    <w:unhideWhenUsed/>
    <w:rsid w:val="001B22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2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3E8F-7C7E-41BA-9BFE-37F538A5D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22</cp:revision>
  <dcterms:created xsi:type="dcterms:W3CDTF">2020-06-14T09:24:00Z</dcterms:created>
  <dcterms:modified xsi:type="dcterms:W3CDTF">2020-08-04T09:08:00Z</dcterms:modified>
</cp:coreProperties>
</file>