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93" w:rsidRDefault="00B8711A" w:rsidP="00B8711A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63</w:t>
      </w:r>
    </w:p>
    <w:p w:rsidR="00B8711A" w:rsidRDefault="00B8711A" w:rsidP="00B8711A">
      <w:pPr>
        <w:ind w:right="1133"/>
        <w:jc w:val="right"/>
        <w:rPr>
          <w:sz w:val="28"/>
          <w:szCs w:val="28"/>
        </w:rPr>
      </w:pPr>
    </w:p>
    <w:p w:rsidR="00EE36A6" w:rsidRPr="00EE36A6" w:rsidRDefault="00EE36A6" w:rsidP="00EE36A6">
      <w:pPr>
        <w:ind w:right="1133"/>
        <w:jc w:val="center"/>
        <w:rPr>
          <w:b/>
          <w:sz w:val="28"/>
          <w:szCs w:val="28"/>
        </w:rPr>
      </w:pPr>
      <w:r w:rsidRPr="00EE36A6">
        <w:rPr>
          <w:b/>
          <w:sz w:val="28"/>
          <w:szCs w:val="28"/>
        </w:rPr>
        <w:t>“SAN GIROLAMO MIANI".</w:t>
      </w:r>
    </w:p>
    <w:p w:rsidR="00B8711A" w:rsidRPr="00EE36A6" w:rsidRDefault="00EE36A6" w:rsidP="00EE36A6">
      <w:pPr>
        <w:ind w:right="1133"/>
        <w:jc w:val="center"/>
        <w:rPr>
          <w:b/>
          <w:sz w:val="28"/>
          <w:szCs w:val="28"/>
        </w:rPr>
      </w:pPr>
      <w:r w:rsidRPr="00EE36A6">
        <w:rPr>
          <w:b/>
          <w:sz w:val="28"/>
          <w:szCs w:val="28"/>
        </w:rPr>
        <w:t>CONTRIBUTO ALLA CONOSCENZA DELLA PRERIFORMA CATTOLICA.</w:t>
      </w:r>
    </w:p>
    <w:p w:rsidR="00EE36A6" w:rsidRDefault="00EE36A6" w:rsidP="00B8711A">
      <w:pPr>
        <w:ind w:right="1133"/>
        <w:rPr>
          <w:sz w:val="28"/>
          <w:szCs w:val="28"/>
        </w:rPr>
      </w:pPr>
    </w:p>
    <w:p w:rsidR="00B8711A" w:rsidRPr="00EE36A6" w:rsidRDefault="00E51BE3" w:rsidP="00B8711A">
      <w:pPr>
        <w:ind w:right="113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3.2. Prigioniero.</w:t>
      </w:r>
    </w:p>
    <w:p w:rsidR="00B8711A" w:rsidRPr="00B8711A" w:rsidRDefault="00EE36A6" w:rsidP="00EE36A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11A" w:rsidRPr="00B8711A">
        <w:rPr>
          <w:sz w:val="28"/>
          <w:szCs w:val="28"/>
        </w:rPr>
        <w:t>Girolamo era dunque prigioniero del capitano Mercurio Bua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in </w:t>
      </w:r>
      <w:r>
        <w:rPr>
          <w:sz w:val="28"/>
          <w:szCs w:val="28"/>
        </w:rPr>
        <w:t>c</w:t>
      </w:r>
      <w:r w:rsidR="00B8711A" w:rsidRPr="00B8711A">
        <w:rPr>
          <w:sz w:val="28"/>
          <w:szCs w:val="28"/>
        </w:rPr>
        <w:t>ampo di Montebelluna.</w:t>
      </w:r>
      <w:r>
        <w:rPr>
          <w:sz w:val="28"/>
          <w:szCs w:val="28"/>
        </w:rPr>
        <w:tab/>
      </w:r>
    </w:p>
    <w:p w:rsidR="00B8711A" w:rsidRPr="00B8711A" w:rsidRDefault="00EE36A6" w:rsidP="00E51BE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11A" w:rsidRPr="00B8711A">
        <w:rPr>
          <w:sz w:val="28"/>
          <w:szCs w:val="28"/>
        </w:rPr>
        <w:t>Pare che l</w:t>
      </w:r>
      <w:r>
        <w:rPr>
          <w:sz w:val="28"/>
          <w:szCs w:val="28"/>
        </w:rPr>
        <w:t>’</w:t>
      </w:r>
      <w:r w:rsidR="00B8711A" w:rsidRPr="00B8711A">
        <w:rPr>
          <w:sz w:val="28"/>
          <w:szCs w:val="28"/>
        </w:rPr>
        <w:t>esercito contasse circa 10.000 tedeschi e 4.000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francesi </w:t>
      </w:r>
      <w:r>
        <w:rPr>
          <w:sz w:val="28"/>
          <w:szCs w:val="28"/>
        </w:rPr>
        <w:t>p</w:t>
      </w:r>
      <w:r w:rsidR="00B8711A" w:rsidRPr="00B8711A">
        <w:rPr>
          <w:sz w:val="28"/>
          <w:szCs w:val="28"/>
        </w:rPr>
        <w:t>iù molti venturieri italiani</w:t>
      </w:r>
      <w:r w:rsidR="00E51BE3">
        <w:rPr>
          <w:rStyle w:val="Rimandonotaapidipagina"/>
          <w:sz w:val="28"/>
          <w:szCs w:val="28"/>
        </w:rPr>
        <w:footnoteReference w:id="1"/>
      </w:r>
      <w:r w:rsidR="00B8711A" w:rsidRPr="00B8711A">
        <w:rPr>
          <w:sz w:val="28"/>
          <w:szCs w:val="28"/>
        </w:rPr>
        <w:t>. Tra i francesi cominciava a</w:t>
      </w:r>
      <w:r w:rsidR="00E51BE3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serpeggiare il malcontento per </w:t>
      </w:r>
      <w:r w:rsidR="00E51BE3">
        <w:rPr>
          <w:sz w:val="28"/>
          <w:szCs w:val="28"/>
        </w:rPr>
        <w:t>l’</w:t>
      </w:r>
      <w:r w:rsidR="00B8711A" w:rsidRPr="00B8711A">
        <w:rPr>
          <w:sz w:val="28"/>
          <w:szCs w:val="28"/>
        </w:rPr>
        <w:t>ingiustificato ritardo dell</w:t>
      </w:r>
      <w:r w:rsidR="00E51BE3">
        <w:rPr>
          <w:sz w:val="28"/>
          <w:szCs w:val="28"/>
        </w:rPr>
        <w:t>’</w:t>
      </w:r>
      <w:r w:rsidR="00B8711A" w:rsidRPr="00B8711A">
        <w:rPr>
          <w:sz w:val="28"/>
          <w:szCs w:val="28"/>
        </w:rPr>
        <w:t>imperatore, né tra essi e i tedeschi regnava buon accordo, essendo gli</w:t>
      </w:r>
      <w:r w:rsidR="00E51BE3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uni sospettosi degli altri</w:t>
      </w:r>
      <w:r w:rsidR="00E51BE3">
        <w:rPr>
          <w:rStyle w:val="Rimandonotaapidipagina"/>
          <w:sz w:val="28"/>
          <w:szCs w:val="28"/>
        </w:rPr>
        <w:footnoteReference w:id="2"/>
      </w:r>
      <w:r w:rsidR="00B8711A" w:rsidRPr="00B8711A">
        <w:rPr>
          <w:sz w:val="28"/>
          <w:szCs w:val="28"/>
        </w:rPr>
        <w:t>.</w:t>
      </w:r>
    </w:p>
    <w:p w:rsidR="00B8711A" w:rsidRPr="00B8711A" w:rsidRDefault="00E51BE3" w:rsidP="00A16EB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11A" w:rsidRPr="00B8711A">
        <w:rPr>
          <w:sz w:val="28"/>
          <w:szCs w:val="28"/>
        </w:rPr>
        <w:t>Intanto i viveri scarseggiavano: in campo si mangiava pane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nero </w:t>
      </w:r>
      <w:r>
        <w:rPr>
          <w:sz w:val="28"/>
          <w:szCs w:val="28"/>
        </w:rPr>
        <w:t>c</w:t>
      </w:r>
      <w:r w:rsidR="00B8711A" w:rsidRPr="00B8711A">
        <w:rPr>
          <w:sz w:val="28"/>
          <w:szCs w:val="28"/>
        </w:rPr>
        <w:t>ome il carbone</w:t>
      </w:r>
      <w:r>
        <w:rPr>
          <w:rStyle w:val="Rimandonotaapidipagina"/>
          <w:sz w:val="28"/>
          <w:szCs w:val="28"/>
        </w:rPr>
        <w:footnoteReference w:id="3"/>
      </w:r>
      <w:r w:rsidR="00B8711A" w:rsidRPr="00B8711A">
        <w:rPr>
          <w:sz w:val="28"/>
          <w:szCs w:val="28"/>
        </w:rPr>
        <w:t>, presto anzi cominciò a mancare del tutto,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e così anche il vino</w:t>
      </w:r>
      <w:r>
        <w:rPr>
          <w:rStyle w:val="Rimandonotaapidipagina"/>
          <w:sz w:val="28"/>
          <w:szCs w:val="28"/>
        </w:rPr>
        <w:footnoteReference w:id="4"/>
      </w:r>
      <w:r w:rsidR="00B8711A" w:rsidRPr="00B8711A">
        <w:rPr>
          <w:sz w:val="28"/>
          <w:szCs w:val="28"/>
        </w:rPr>
        <w:t>. Le varie misure e le continue razzie non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miglioravano la situazione. La </w:t>
      </w:r>
      <w:r>
        <w:rPr>
          <w:sz w:val="28"/>
          <w:szCs w:val="28"/>
        </w:rPr>
        <w:t>mancanza di viveri diveniva spa</w:t>
      </w:r>
      <w:r w:rsidR="00B8711A" w:rsidRPr="00B8711A">
        <w:rPr>
          <w:sz w:val="28"/>
          <w:szCs w:val="28"/>
        </w:rPr>
        <w:t>ventosa: “ita che il pan che qui in Treviso val un bezo, val in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 xml:space="preserve">campo dieci marcheti, e come follano </w:t>
      </w:r>
      <w:r w:rsidR="00A16EB8">
        <w:rPr>
          <w:sz w:val="28"/>
          <w:szCs w:val="28"/>
        </w:rPr>
        <w:t>l’</w:t>
      </w:r>
      <w:r w:rsidR="00B8711A" w:rsidRPr="00B8711A">
        <w:rPr>
          <w:sz w:val="28"/>
          <w:szCs w:val="28"/>
        </w:rPr>
        <w:t>uva, immediate vendono</w:t>
      </w:r>
      <w:r w:rsidR="00A16EB8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quel mosto quattro soldi al bochal"</w:t>
      </w:r>
      <w:r w:rsidR="00A16EB8">
        <w:rPr>
          <w:rStyle w:val="Rimandonotaapidipagina"/>
          <w:sz w:val="28"/>
          <w:szCs w:val="28"/>
        </w:rPr>
        <w:footnoteReference w:id="5"/>
      </w:r>
      <w:r w:rsidR="00B8711A" w:rsidRPr="00B8711A">
        <w:rPr>
          <w:sz w:val="28"/>
          <w:szCs w:val="28"/>
        </w:rPr>
        <w:t>. Un prigioniero fuggito dal</w:t>
      </w:r>
      <w:r w:rsidR="00A16EB8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campo nemico racconta di essere stato otto giorni senza pane e</w:t>
      </w:r>
      <w:r w:rsidR="00A16EB8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che nel campo francese si moriva di fame</w:t>
      </w:r>
      <w:r w:rsidR="00A16EB8">
        <w:rPr>
          <w:rStyle w:val="Rimandonotaapidipagina"/>
          <w:sz w:val="28"/>
          <w:szCs w:val="28"/>
        </w:rPr>
        <w:footnoteReference w:id="6"/>
      </w:r>
      <w:r w:rsidR="00B8711A" w:rsidRPr="00B8711A">
        <w:rPr>
          <w:sz w:val="28"/>
          <w:szCs w:val="28"/>
        </w:rPr>
        <w:t>. Naturalmente la</w:t>
      </w:r>
      <w:r w:rsidR="00A16EB8"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situazione di Girolamo non doveva essere migliore.</w:t>
      </w:r>
    </w:p>
    <w:p w:rsidR="00B8711A" w:rsidRDefault="00A16EB8" w:rsidP="00B8711A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B8711A" w:rsidRPr="00B8711A">
        <w:rPr>
          <w:sz w:val="28"/>
          <w:szCs w:val="28"/>
        </w:rPr>
        <w:t>Vi erano anche parecchi prigionieri in campo. Tutti i giorni</w:t>
      </w:r>
      <w:r>
        <w:rPr>
          <w:sz w:val="28"/>
          <w:szCs w:val="28"/>
        </w:rPr>
        <w:t xml:space="preserve"> </w:t>
      </w:r>
      <w:r w:rsidR="00B8711A" w:rsidRPr="00B8711A">
        <w:rPr>
          <w:sz w:val="28"/>
          <w:szCs w:val="28"/>
        </w:rPr>
        <w:t>qualcuno riusciva a prendere la f</w:t>
      </w:r>
      <w:r>
        <w:rPr>
          <w:sz w:val="28"/>
          <w:szCs w:val="28"/>
        </w:rPr>
        <w:t>uga e ad arrivare salvo a Trevi</w:t>
      </w:r>
      <w:r w:rsidR="00B8711A" w:rsidRPr="00B8711A">
        <w:rPr>
          <w:sz w:val="28"/>
          <w:szCs w:val="28"/>
        </w:rPr>
        <w:t>so, nonostante che il territorio fosse tutto percorso da staffette</w:t>
      </w:r>
      <w:r>
        <w:rPr>
          <w:rStyle w:val="Rimandonotaapidipagina"/>
          <w:sz w:val="28"/>
          <w:szCs w:val="28"/>
        </w:rPr>
        <w:footnoteReference w:id="7"/>
      </w:r>
      <w:r w:rsidR="00B8711A" w:rsidRPr="00B8711A">
        <w:rPr>
          <w:sz w:val="28"/>
          <w:szCs w:val="28"/>
        </w:rPr>
        <w:t>.</w:t>
      </w:r>
    </w:p>
    <w:p w:rsidR="00A16EB8" w:rsidRDefault="00A16EB8" w:rsidP="00A16EB8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pag. 64</w:t>
      </w:r>
    </w:p>
    <w:p w:rsidR="00B207A8" w:rsidRPr="00B207A8" w:rsidRDefault="00B207A8" w:rsidP="00B207A8">
      <w:pPr>
        <w:ind w:right="1133"/>
        <w:jc w:val="both"/>
        <w:rPr>
          <w:sz w:val="28"/>
          <w:szCs w:val="28"/>
        </w:rPr>
      </w:pPr>
      <w:r w:rsidRPr="00B207A8">
        <w:rPr>
          <w:sz w:val="28"/>
          <w:szCs w:val="28"/>
        </w:rPr>
        <w:t>Naturalmente a Girolamo era stata fatta buona guardia, data la</w:t>
      </w:r>
      <w:r w:rsidR="00A16EB8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sua posizione e, soprattutto, per il buon riscatto che se n</w:t>
      </w:r>
      <w:r w:rsidR="00A16EB8">
        <w:rPr>
          <w:sz w:val="28"/>
          <w:szCs w:val="28"/>
        </w:rPr>
        <w:t>e</w:t>
      </w:r>
      <w:r w:rsidRPr="00B207A8">
        <w:rPr>
          <w:sz w:val="28"/>
          <w:szCs w:val="28"/>
        </w:rPr>
        <w:t xml:space="preserve"> poteva</w:t>
      </w:r>
      <w:r w:rsidR="00A16EB8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sperare. ,</w:t>
      </w:r>
    </w:p>
    <w:p w:rsidR="00B207A8" w:rsidRPr="00B207A8" w:rsidRDefault="00A16EB8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Un terzo dei soldati in campo era ammalato e molti morivano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quotidianamente. Tra i malati il giorno 6 settembre è segnalato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anche Mercurio Bua; e dovette esserlo abbastanza gravemente,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perché gli fu fabbricata anche una portantina per trasportarlo in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caso di movimento di truppe</w:t>
      </w:r>
      <w:r>
        <w:rPr>
          <w:rStyle w:val="Rimandonotaapidipagina"/>
          <w:sz w:val="28"/>
          <w:szCs w:val="28"/>
        </w:rPr>
        <w:footnoteReference w:id="8"/>
      </w:r>
      <w:r w:rsidR="00B207A8" w:rsidRPr="00B207A8">
        <w:rPr>
          <w:sz w:val="28"/>
          <w:szCs w:val="28"/>
        </w:rPr>
        <w:t>.</w:t>
      </w:r>
    </w:p>
    <w:p w:rsidR="00B207A8" w:rsidRPr="00B207A8" w:rsidRDefault="00A16EB8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Il 12 settembre l'esercito si levò da Montebelluna e, costeggiando il Montello, scese verso il Piave e si accampò a Narvesa</w:t>
      </w:r>
      <w:r>
        <w:rPr>
          <w:rStyle w:val="Rimandonotaapidipagina"/>
          <w:sz w:val="28"/>
          <w:szCs w:val="28"/>
        </w:rPr>
        <w:footnoteReference w:id="9"/>
      </w:r>
      <w:r w:rsidR="00B207A8" w:rsidRPr="00B207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La Palisse prese alloggio nella badia di Narvesa</w:t>
      </w:r>
      <w:r>
        <w:rPr>
          <w:rStyle w:val="Rimandonotaapidipagina"/>
          <w:sz w:val="28"/>
          <w:szCs w:val="28"/>
        </w:rPr>
        <w:footnoteReference w:id="10"/>
      </w:r>
      <w:r w:rsidR="00B207A8" w:rsidRPr="00B207A8">
        <w:rPr>
          <w:sz w:val="28"/>
          <w:szCs w:val="28"/>
        </w:rPr>
        <w:t>.</w:t>
      </w:r>
    </w:p>
    <w:p w:rsidR="00B207A8" w:rsidRPr="00B207A8" w:rsidRDefault="00E261DA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Spinti dalla fame, attratti dalla situazione economicamente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florida del Friuli, i tedeschi incominciarono a passare il Piave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per impadronirsi di quel territorio, che del resto Venezia aveva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tolto a</w:t>
      </w:r>
      <w:r>
        <w:rPr>
          <w:sz w:val="28"/>
          <w:szCs w:val="28"/>
        </w:rPr>
        <w:t>ll’</w:t>
      </w:r>
      <w:r w:rsidR="00B207A8" w:rsidRPr="00B207A8">
        <w:rPr>
          <w:sz w:val="28"/>
          <w:szCs w:val="28"/>
        </w:rPr>
        <w:t>imperatore da pochi anni</w:t>
      </w:r>
      <w:r>
        <w:rPr>
          <w:rStyle w:val="Rimandonotaapidipagina"/>
          <w:sz w:val="28"/>
          <w:szCs w:val="28"/>
        </w:rPr>
        <w:footnoteReference w:id="11"/>
      </w:r>
      <w:r w:rsidR="00B207A8" w:rsidRPr="00B207A8">
        <w:rPr>
          <w:sz w:val="28"/>
          <w:szCs w:val="28"/>
        </w:rPr>
        <w:t>.</w:t>
      </w:r>
    </w:p>
    <w:p w:rsidR="00B207A8" w:rsidRPr="00B207A8" w:rsidRDefault="00E261DA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Mercurio Bua rimase di qua del Piave, con i francesi. Egli in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campo era tra i più potenti. Tomaso Padavin, certosino dell'abbazia di Narvesa, che lo vide in quei giorni, così come Girolamo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dovette sempre averlo sotto gli occhi, lo descrive in questo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modo: “Mercurio Bua, capo di stratioti à gran poder: va vestito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d</w:t>
      </w:r>
      <w:r>
        <w:rPr>
          <w:sz w:val="28"/>
          <w:szCs w:val="28"/>
        </w:rPr>
        <w:t>’</w:t>
      </w:r>
      <w:r w:rsidR="00B207A8" w:rsidRPr="00B207A8">
        <w:rPr>
          <w:sz w:val="28"/>
          <w:szCs w:val="28"/>
        </w:rPr>
        <w:t xml:space="preserve">oro, il chiamano conte. </w:t>
      </w:r>
      <w:r>
        <w:rPr>
          <w:sz w:val="28"/>
          <w:szCs w:val="28"/>
        </w:rPr>
        <w:t>L’</w:t>
      </w:r>
      <w:r w:rsidR="00B207A8" w:rsidRPr="00B207A8">
        <w:rPr>
          <w:sz w:val="28"/>
          <w:szCs w:val="28"/>
        </w:rPr>
        <w:t>impera</w:t>
      </w:r>
      <w:r>
        <w:rPr>
          <w:sz w:val="28"/>
          <w:szCs w:val="28"/>
        </w:rPr>
        <w:t xml:space="preserve">dor li ha donato 3 castelli, zoè </w:t>
      </w:r>
      <w:r w:rsidR="00B207A8" w:rsidRPr="00B207A8">
        <w:rPr>
          <w:sz w:val="28"/>
          <w:szCs w:val="28"/>
        </w:rPr>
        <w:t>Soave e do altri, e lo ha fatto suo consier, el qual sta in grande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reputatione</w:t>
      </w:r>
      <w:r>
        <w:rPr>
          <w:rStyle w:val="Rimandonotaapidipagina"/>
          <w:sz w:val="28"/>
          <w:szCs w:val="28"/>
        </w:rPr>
        <w:footnoteReference w:id="12"/>
      </w:r>
      <w:r w:rsidR="00B207A8" w:rsidRPr="00B207A8">
        <w:rPr>
          <w:sz w:val="28"/>
          <w:szCs w:val="28"/>
        </w:rPr>
        <w:t>.</w:t>
      </w:r>
    </w:p>
    <w:p w:rsidR="00B207A8" w:rsidRPr="00B207A8" w:rsidRDefault="00E261DA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Mentre i tedeschi iniziano una rapida conquista del Friuli, i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francesi continuano le loro razzie lungo il Piave, cercando di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saccheggiare i vari mulini posti sul fiume. Intanto cominciano ad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arrivare dal Friuli dei viveri e la situazione in campo migliora.</w:t>
      </w:r>
    </w:p>
    <w:p w:rsidR="00B207A8" w:rsidRPr="00B207A8" w:rsidRDefault="00E261DA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Il 27 settembre i francesi si muovono da Narvesa; alle quattro del rnattino danno fuoco agli alloggiamenti e, dopo aver finto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 xml:space="preserve">di tornare </w:t>
      </w:r>
      <w:r w:rsidR="00B207A8" w:rsidRPr="00B207A8">
        <w:rPr>
          <w:sz w:val="28"/>
          <w:szCs w:val="28"/>
        </w:rPr>
        <w:lastRenderedPageBreak/>
        <w:t>indietro, incominciano a</w:t>
      </w:r>
      <w:r>
        <w:rPr>
          <w:sz w:val="28"/>
          <w:szCs w:val="28"/>
        </w:rPr>
        <w:t xml:space="preserve"> scendere lungo il Piave, tiran</w:t>
      </w:r>
      <w:r w:rsidR="00B207A8" w:rsidRPr="00B207A8">
        <w:rPr>
          <w:sz w:val="28"/>
          <w:szCs w:val="28"/>
        </w:rPr>
        <w:t>dosi dietro il ponte che vi avevano costruito. Dopo aver vagato</w:t>
      </w:r>
    </w:p>
    <w:p w:rsidR="00B207A8" w:rsidRDefault="00486C3C" w:rsidP="00486C3C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65</w:t>
      </w:r>
    </w:p>
    <w:p w:rsidR="00B207A8" w:rsidRPr="00B207A8" w:rsidRDefault="00B207A8" w:rsidP="00B207A8">
      <w:pPr>
        <w:ind w:right="1133"/>
        <w:jc w:val="both"/>
        <w:rPr>
          <w:sz w:val="28"/>
          <w:szCs w:val="28"/>
        </w:rPr>
      </w:pPr>
      <w:r w:rsidRPr="00B207A8">
        <w:rPr>
          <w:sz w:val="28"/>
          <w:szCs w:val="28"/>
        </w:rPr>
        <w:t>tutta la giornata, si accampano la sera vicino a San Giorgio, in</w:t>
      </w:r>
      <w:r w:rsidR="00486C3C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un luogo dove sorgeva una torre detta Maserada, fra Narvesa e</w:t>
      </w:r>
      <w:r w:rsidR="00486C3C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Ponte di Piave “appresso la Piave zercha mia 4, lontan di Treviso</w:t>
      </w:r>
      <w:r w:rsidR="00486C3C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mia 6”</w:t>
      </w:r>
      <w:r w:rsidR="00486C3C">
        <w:rPr>
          <w:rStyle w:val="Rimandonotaapidipagina"/>
          <w:sz w:val="28"/>
          <w:szCs w:val="28"/>
        </w:rPr>
        <w:footnoteReference w:id="13"/>
      </w:r>
      <w:r w:rsidRPr="00B207A8">
        <w:rPr>
          <w:sz w:val="28"/>
          <w:szCs w:val="28"/>
        </w:rPr>
        <w:t xml:space="preserve">. </w:t>
      </w:r>
      <w:r w:rsidR="00486C3C">
        <w:rPr>
          <w:sz w:val="28"/>
          <w:szCs w:val="28"/>
        </w:rPr>
        <w:t>L’</w:t>
      </w:r>
      <w:r w:rsidRPr="00B207A8">
        <w:rPr>
          <w:sz w:val="28"/>
          <w:szCs w:val="28"/>
        </w:rPr>
        <w:t>accampamento si stendeva per circa quattro miglia</w:t>
      </w:r>
      <w:r w:rsidR="00486C3C">
        <w:rPr>
          <w:sz w:val="28"/>
          <w:szCs w:val="28"/>
        </w:rPr>
        <w:t xml:space="preserve"> </w:t>
      </w:r>
      <w:r w:rsidRPr="00B207A8">
        <w:rPr>
          <w:sz w:val="28"/>
          <w:szCs w:val="28"/>
        </w:rPr>
        <w:t>lungo la strada.</w:t>
      </w:r>
    </w:p>
    <w:p w:rsidR="00B207A8" w:rsidRDefault="00486C3C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7A8" w:rsidRPr="00B207A8">
        <w:rPr>
          <w:sz w:val="28"/>
          <w:szCs w:val="28"/>
        </w:rPr>
        <w:t>Il 28 mattina all</w:t>
      </w:r>
      <w:r>
        <w:rPr>
          <w:sz w:val="28"/>
          <w:szCs w:val="28"/>
        </w:rPr>
        <w:t>’</w:t>
      </w:r>
      <w:r w:rsidR="00B207A8" w:rsidRPr="00B207A8">
        <w:rPr>
          <w:sz w:val="28"/>
          <w:szCs w:val="28"/>
        </w:rPr>
        <w:t>alba dalla torre Maserada l</w:t>
      </w:r>
      <w:r>
        <w:rPr>
          <w:sz w:val="28"/>
          <w:szCs w:val="28"/>
        </w:rPr>
        <w:t>’</w:t>
      </w:r>
      <w:r w:rsidR="00B207A8" w:rsidRPr="00B207A8">
        <w:rPr>
          <w:sz w:val="28"/>
          <w:szCs w:val="28"/>
        </w:rPr>
        <w:t>esercito muove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verso Breda</w:t>
      </w:r>
      <w:r>
        <w:rPr>
          <w:rStyle w:val="Rimandonotaapidipagina"/>
          <w:sz w:val="28"/>
          <w:szCs w:val="28"/>
        </w:rPr>
        <w:footnoteReference w:id="14"/>
      </w:r>
      <w:r>
        <w:rPr>
          <w:sz w:val="28"/>
          <w:szCs w:val="28"/>
        </w:rPr>
        <w:t xml:space="preserve"> ...</w:t>
      </w:r>
      <w:r w:rsidR="00B207A8" w:rsidRPr="00B207A8">
        <w:rPr>
          <w:sz w:val="28"/>
          <w:szCs w:val="28"/>
        </w:rPr>
        <w:t>, ma ormai i nuovi movimenti non ci interessano</w:t>
      </w:r>
      <w:r>
        <w:rPr>
          <w:sz w:val="28"/>
          <w:szCs w:val="28"/>
        </w:rPr>
        <w:t xml:space="preserve"> </w:t>
      </w:r>
      <w:r w:rsidR="00B207A8" w:rsidRPr="00B207A8">
        <w:rPr>
          <w:sz w:val="28"/>
          <w:szCs w:val="28"/>
        </w:rPr>
        <w:t>più. Girolamo dalle due di notte non era più prigioniero.</w:t>
      </w:r>
    </w:p>
    <w:p w:rsidR="00E6333E" w:rsidRDefault="00E6333E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</w:t>
      </w:r>
    </w:p>
    <w:p w:rsidR="00E6333E" w:rsidRDefault="00E6333E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Netto, </w:t>
      </w:r>
      <w:r>
        <w:rPr>
          <w:i/>
          <w:sz w:val="28"/>
          <w:szCs w:val="28"/>
        </w:rPr>
        <w:t xml:space="preserve">Per una biografia di Mercurio Bua, comandante degli “stradiotti” Veneti, </w:t>
      </w:r>
      <w:r>
        <w:rPr>
          <w:sz w:val="28"/>
          <w:szCs w:val="28"/>
        </w:rPr>
        <w:t>in SOMASCHA, 2, 1996, pag. 97-112</w:t>
      </w:r>
    </w:p>
    <w:p w:rsidR="00952556" w:rsidRDefault="00952556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</w:t>
      </w:r>
    </w:p>
    <w:p w:rsidR="00952556" w:rsidRDefault="00952556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952556">
        <w:rPr>
          <w:i/>
          <w:sz w:val="28"/>
          <w:szCs w:val="28"/>
        </w:rPr>
        <w:t>Prigionia e liberazione di San Giro</w:t>
      </w:r>
      <w:r>
        <w:rPr>
          <w:i/>
          <w:sz w:val="28"/>
          <w:szCs w:val="28"/>
        </w:rPr>
        <w:t>l</w:t>
      </w:r>
      <w:r w:rsidRPr="00952556">
        <w:rPr>
          <w:i/>
          <w:sz w:val="28"/>
          <w:szCs w:val="28"/>
        </w:rPr>
        <w:t>amo Miani</w:t>
      </w:r>
      <w:r>
        <w:rPr>
          <w:sz w:val="28"/>
          <w:szCs w:val="28"/>
        </w:rPr>
        <w:t xml:space="preserve">, </w:t>
      </w:r>
      <w:r w:rsidRPr="00952556">
        <w:rPr>
          <w:i/>
          <w:sz w:val="28"/>
          <w:szCs w:val="28"/>
        </w:rPr>
        <w:t>28.9.1511</w:t>
      </w:r>
      <w:r>
        <w:rPr>
          <w:sz w:val="28"/>
          <w:szCs w:val="28"/>
        </w:rPr>
        <w:t>, 27.9.2009, pag. 1-</w:t>
      </w:r>
      <w:r w:rsidR="007E2D8F">
        <w:rPr>
          <w:sz w:val="28"/>
          <w:szCs w:val="28"/>
        </w:rPr>
        <w:t>29</w:t>
      </w:r>
    </w:p>
    <w:p w:rsidR="00952556" w:rsidRDefault="00952556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</w:t>
      </w:r>
    </w:p>
    <w:p w:rsidR="00952556" w:rsidRDefault="00952556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Prigionia e liberazione del Miani nelle sue biografie, </w:t>
      </w:r>
      <w:r w:rsidRPr="00952556">
        <w:rPr>
          <w:sz w:val="28"/>
          <w:szCs w:val="28"/>
        </w:rPr>
        <w:t>11-10.2011</w:t>
      </w:r>
      <w:r>
        <w:rPr>
          <w:sz w:val="28"/>
          <w:szCs w:val="28"/>
        </w:rPr>
        <w:t>, pag. 1-190</w:t>
      </w:r>
    </w:p>
    <w:p w:rsidR="007E2D8F" w:rsidRDefault="007E2D8F" w:rsidP="00B207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</w:t>
      </w:r>
    </w:p>
    <w:p w:rsidR="00943B76" w:rsidRPr="00943B76" w:rsidRDefault="00943B76" w:rsidP="00B207A8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>Prigionia di San Girolamo Miani, 28.9.1511,</w:t>
      </w:r>
      <w:r w:rsidRPr="00943B76">
        <w:rPr>
          <w:sz w:val="28"/>
          <w:szCs w:val="28"/>
        </w:rPr>
        <w:t xml:space="preserve"> pag. 1-21</w:t>
      </w:r>
      <w:bookmarkStart w:id="0" w:name="_GoBack"/>
      <w:bookmarkEnd w:id="0"/>
    </w:p>
    <w:sectPr w:rsidR="00943B76" w:rsidRPr="00943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A6" w:rsidRDefault="00790AA6" w:rsidP="00E51BE3">
      <w:pPr>
        <w:spacing w:after="0" w:line="240" w:lineRule="auto"/>
      </w:pPr>
      <w:r>
        <w:separator/>
      </w:r>
    </w:p>
  </w:endnote>
  <w:endnote w:type="continuationSeparator" w:id="0">
    <w:p w:rsidR="00790AA6" w:rsidRDefault="00790AA6" w:rsidP="00E5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A6" w:rsidRDefault="00790AA6" w:rsidP="00E51BE3">
      <w:pPr>
        <w:spacing w:after="0" w:line="240" w:lineRule="auto"/>
      </w:pPr>
      <w:r>
        <w:separator/>
      </w:r>
    </w:p>
  </w:footnote>
  <w:footnote w:type="continuationSeparator" w:id="0">
    <w:p w:rsidR="00790AA6" w:rsidRDefault="00790AA6" w:rsidP="00E51BE3">
      <w:pPr>
        <w:spacing w:after="0" w:line="240" w:lineRule="auto"/>
      </w:pPr>
      <w:r>
        <w:continuationSeparator/>
      </w:r>
    </w:p>
  </w:footnote>
  <w:footnote w:id="1">
    <w:p w:rsidR="00E51BE3" w:rsidRDefault="00E51BE3" w:rsidP="00E51BE3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(77), Cfr. M. SANUDU, </w:t>
      </w:r>
      <w:r w:rsidRPr="00E51BE3">
        <w:rPr>
          <w:i/>
        </w:rPr>
        <w:t>Diari</w:t>
      </w:r>
      <w:r>
        <w:t>, citt. t. XII, passim. Le notizie che giungevano a Venezia da Treviso attraverso le informazioni del Gradenigo e del Giustiniani, sono però incerte e molte volte contrastanti. Il fatto è da attribuire sia alla varietà degli informatori (prigionieri fuggiti, nemici presi, contadini, esploratori), sia al continuo andirivieni di uomini nel campo nemico.</w:t>
      </w:r>
    </w:p>
  </w:footnote>
  <w:footnote w:id="2">
    <w:p w:rsidR="00E51BE3" w:rsidRDefault="00E51BE3">
      <w:pPr>
        <w:pStyle w:val="Testonotaapidipagina"/>
      </w:pPr>
      <w:r>
        <w:rPr>
          <w:rStyle w:val="Rimandonotaapidipagina"/>
        </w:rPr>
        <w:footnoteRef/>
      </w:r>
      <w:r>
        <w:t xml:space="preserve"> (78), </w:t>
      </w:r>
      <w:r w:rsidRPr="00E51BE3">
        <w:rPr>
          <w:i/>
        </w:rPr>
        <w:t>Ibidem</w:t>
      </w:r>
      <w:r w:rsidRPr="00E51BE3">
        <w:t>, t. XIII, passim.</w:t>
      </w:r>
    </w:p>
  </w:footnote>
  <w:footnote w:id="3">
    <w:p w:rsidR="00E51BE3" w:rsidRPr="00E51BE3" w:rsidRDefault="00E51BE3">
      <w:pPr>
        <w:pStyle w:val="Testonotaapidipagina"/>
      </w:pPr>
      <w:r>
        <w:rPr>
          <w:rStyle w:val="Rimandonotaapidipagina"/>
        </w:rPr>
        <w:footnoteRef/>
      </w:r>
      <w:r>
        <w:t xml:space="preserve"> (79), </w:t>
      </w:r>
      <w:r>
        <w:rPr>
          <w:i/>
        </w:rPr>
        <w:t xml:space="preserve">Ibidem, </w:t>
      </w:r>
      <w:r>
        <w:t>col. 462.</w:t>
      </w:r>
    </w:p>
  </w:footnote>
  <w:footnote w:id="4">
    <w:p w:rsidR="00E51BE3" w:rsidRPr="00E51BE3" w:rsidRDefault="00E51BE3">
      <w:pPr>
        <w:pStyle w:val="Testonotaapidipagina"/>
      </w:pPr>
      <w:r>
        <w:rPr>
          <w:rStyle w:val="Rimandonotaapidipagina"/>
        </w:rPr>
        <w:footnoteRef/>
      </w:r>
      <w:r>
        <w:t xml:space="preserve"> (80). </w:t>
      </w:r>
      <w:r>
        <w:rPr>
          <w:i/>
        </w:rPr>
        <w:t xml:space="preserve">Ibidem, </w:t>
      </w:r>
      <w:r>
        <w:t>col. 465.</w:t>
      </w:r>
    </w:p>
  </w:footnote>
  <w:footnote w:id="5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(81), </w:t>
      </w:r>
      <w:r>
        <w:rPr>
          <w:i/>
        </w:rPr>
        <w:t xml:space="preserve">Ibidem, </w:t>
      </w:r>
      <w:r>
        <w:t>col. 491.</w:t>
      </w:r>
    </w:p>
  </w:footnote>
  <w:footnote w:id="6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(82), </w:t>
      </w:r>
      <w:r>
        <w:rPr>
          <w:i/>
        </w:rPr>
        <w:t xml:space="preserve">Ibidem, </w:t>
      </w:r>
      <w:r>
        <w:t>col. 577.</w:t>
      </w:r>
    </w:p>
  </w:footnote>
  <w:footnote w:id="7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(83), </w:t>
      </w:r>
      <w:r>
        <w:rPr>
          <w:i/>
        </w:rPr>
        <w:t xml:space="preserve">Ibidem, </w:t>
      </w:r>
      <w:r>
        <w:t>col. 469.</w:t>
      </w:r>
    </w:p>
  </w:footnote>
  <w:footnote w:id="8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(84), </w:t>
      </w:r>
      <w:r>
        <w:rPr>
          <w:i/>
        </w:rPr>
        <w:t xml:space="preserve">Ibidem, </w:t>
      </w:r>
      <w:r>
        <w:t>col.469.</w:t>
      </w:r>
    </w:p>
  </w:footnote>
  <w:footnote w:id="9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(85), </w:t>
      </w:r>
      <w:r>
        <w:rPr>
          <w:i/>
        </w:rPr>
        <w:t xml:space="preserve">Ibidem, </w:t>
      </w:r>
      <w:r>
        <w:t>col. 505.</w:t>
      </w:r>
    </w:p>
  </w:footnote>
  <w:footnote w:id="10">
    <w:p w:rsidR="00A16EB8" w:rsidRPr="00A16EB8" w:rsidRDefault="00A16EB8">
      <w:pPr>
        <w:pStyle w:val="Testonotaapidipagina"/>
      </w:pPr>
      <w:r>
        <w:rPr>
          <w:rStyle w:val="Rimandonotaapidipagina"/>
        </w:rPr>
        <w:footnoteRef/>
      </w:r>
      <w:r>
        <w:t xml:space="preserve"> (86), </w:t>
      </w:r>
      <w:r>
        <w:rPr>
          <w:i/>
        </w:rPr>
        <w:t xml:space="preserve">Ibidem, </w:t>
      </w:r>
      <w:r>
        <w:t xml:space="preserve">col. </w:t>
      </w:r>
      <w:r w:rsidR="00E261DA">
        <w:t>518.</w:t>
      </w:r>
    </w:p>
  </w:footnote>
  <w:footnote w:id="11">
    <w:p w:rsidR="00E261DA" w:rsidRPr="00E261DA" w:rsidRDefault="00E261DA">
      <w:pPr>
        <w:pStyle w:val="Testonotaapidipagina"/>
      </w:pPr>
      <w:r>
        <w:rPr>
          <w:rStyle w:val="Rimandonotaapidipagina"/>
        </w:rPr>
        <w:footnoteRef/>
      </w:r>
      <w:r>
        <w:t xml:space="preserve"> (87), </w:t>
      </w:r>
      <w:r>
        <w:rPr>
          <w:i/>
        </w:rPr>
        <w:t xml:space="preserve">Ibidem, </w:t>
      </w:r>
      <w:r>
        <w:t>col. 566.</w:t>
      </w:r>
    </w:p>
  </w:footnote>
  <w:footnote w:id="12">
    <w:p w:rsidR="00E261DA" w:rsidRPr="00E261DA" w:rsidRDefault="00E261DA">
      <w:pPr>
        <w:pStyle w:val="Testonotaapidipagina"/>
      </w:pPr>
      <w:r>
        <w:rPr>
          <w:rStyle w:val="Rimandonotaapidipagina"/>
        </w:rPr>
        <w:footnoteRef/>
      </w:r>
      <w:r>
        <w:t xml:space="preserve"> (88). </w:t>
      </w:r>
      <w:r>
        <w:rPr>
          <w:i/>
        </w:rPr>
        <w:t xml:space="preserve">Ibidem, </w:t>
      </w:r>
      <w:r>
        <w:t>col. 595.</w:t>
      </w:r>
    </w:p>
  </w:footnote>
  <w:footnote w:id="13">
    <w:p w:rsidR="00486C3C" w:rsidRPr="00486C3C" w:rsidRDefault="00486C3C">
      <w:pPr>
        <w:pStyle w:val="Testonotaapidipagina"/>
      </w:pPr>
      <w:r>
        <w:rPr>
          <w:rStyle w:val="Rimandonotaapidipagina"/>
        </w:rPr>
        <w:footnoteRef/>
      </w:r>
      <w:r>
        <w:t xml:space="preserve"> (89), </w:t>
      </w:r>
      <w:r>
        <w:rPr>
          <w:i/>
        </w:rPr>
        <w:t xml:space="preserve">Ibidem, </w:t>
      </w:r>
      <w:r>
        <w:t>col. 597.</w:t>
      </w:r>
    </w:p>
  </w:footnote>
  <w:footnote w:id="14">
    <w:p w:rsidR="00486C3C" w:rsidRPr="00486C3C" w:rsidRDefault="00486C3C">
      <w:pPr>
        <w:pStyle w:val="Testonotaapidipagina"/>
      </w:pPr>
      <w:r>
        <w:rPr>
          <w:rStyle w:val="Rimandonotaapidipagina"/>
        </w:rPr>
        <w:footnoteRef/>
      </w:r>
      <w:r>
        <w:t xml:space="preserve"> (90), </w:t>
      </w:r>
      <w:r>
        <w:rPr>
          <w:i/>
        </w:rPr>
        <w:t xml:space="preserve">Ibidem, </w:t>
      </w:r>
      <w:r>
        <w:t>col. 602.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1A"/>
    <w:rsid w:val="001700EA"/>
    <w:rsid w:val="001C3AF2"/>
    <w:rsid w:val="002D0508"/>
    <w:rsid w:val="00452A66"/>
    <w:rsid w:val="00486C3C"/>
    <w:rsid w:val="006B1699"/>
    <w:rsid w:val="00790AA6"/>
    <w:rsid w:val="007E2D8F"/>
    <w:rsid w:val="00943B76"/>
    <w:rsid w:val="00952556"/>
    <w:rsid w:val="009F6A4B"/>
    <w:rsid w:val="00A16EB8"/>
    <w:rsid w:val="00B207A8"/>
    <w:rsid w:val="00B8711A"/>
    <w:rsid w:val="00E261DA"/>
    <w:rsid w:val="00E51BE3"/>
    <w:rsid w:val="00E6333E"/>
    <w:rsid w:val="00EE36A6"/>
    <w:rsid w:val="00F2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1B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1B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1B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1B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1B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1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3E98-7B66-4C8D-8297-E094D230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</cp:revision>
  <dcterms:created xsi:type="dcterms:W3CDTF">2020-06-17T08:27:00Z</dcterms:created>
  <dcterms:modified xsi:type="dcterms:W3CDTF">2020-08-04T14:10:00Z</dcterms:modified>
</cp:coreProperties>
</file>