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5E" w:rsidRDefault="0031442D">
      <w:r>
        <w:rPr>
          <w:noProof/>
          <w:lang w:eastAsia="it-IT"/>
        </w:rPr>
        <w:drawing>
          <wp:inline distT="0" distB="0" distL="0" distR="0" wp14:anchorId="535C360A" wp14:editId="64D4EBD7">
            <wp:extent cx="6120130" cy="414882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4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42D" w:rsidRDefault="0031442D">
      <w:r>
        <w:t>Bellinzona, Collegio Soave, da L’Ordine 1928, pag. 309</w:t>
      </w:r>
      <w:bookmarkStart w:id="0" w:name="_GoBack"/>
      <w:bookmarkEnd w:id="0"/>
    </w:p>
    <w:sectPr w:rsidR="003144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42D"/>
    <w:rsid w:val="0031442D"/>
    <w:rsid w:val="0064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4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2018-05-29T06:58:00Z</dcterms:created>
  <dcterms:modified xsi:type="dcterms:W3CDTF">2018-05-29T06:59:00Z</dcterms:modified>
</cp:coreProperties>
</file>