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A5" w:rsidRDefault="00F84ADD">
      <w:r>
        <w:rPr>
          <w:noProof/>
          <w:lang w:eastAsia="it-IT"/>
        </w:rPr>
        <w:drawing>
          <wp:inline distT="0" distB="0" distL="0" distR="0" wp14:anchorId="1374929F" wp14:editId="2A61C40E">
            <wp:extent cx="2171812" cy="2851297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812" cy="285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ADD" w:rsidRDefault="00F84ADD"/>
    <w:p w:rsidR="00F84ADD" w:rsidRDefault="005445A0">
      <w:r>
        <w:t>Riv. Congr. fasc. 63, 1935, pag. 137.</w:t>
      </w:r>
      <w:bookmarkStart w:id="0" w:name="_GoBack"/>
      <w:bookmarkEnd w:id="0"/>
    </w:p>
    <w:sectPr w:rsidR="00F84A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ADD"/>
    <w:rsid w:val="005445A0"/>
    <w:rsid w:val="005E4EA5"/>
    <w:rsid w:val="00F8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2018-01-23T09:21:00Z</dcterms:created>
  <dcterms:modified xsi:type="dcterms:W3CDTF">2018-01-23T15:26:00Z</dcterms:modified>
</cp:coreProperties>
</file>