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4B" w:rsidRDefault="00FD0043">
      <w:r>
        <w:rPr>
          <w:noProof/>
          <w:lang w:eastAsia="it-IT"/>
        </w:rPr>
        <w:drawing>
          <wp:inline distT="0" distB="0" distL="0" distR="0" wp14:anchorId="10A6DA5F" wp14:editId="5E5F9670">
            <wp:extent cx="2730640" cy="2603634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0640" cy="260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43" w:rsidRDefault="00FD0043"/>
    <w:p w:rsidR="00FD0043" w:rsidRDefault="00FD0043">
      <w:r>
        <w:t>Riv. Congr. fasc. 52, 1933, P. Cesarotti Ilario, pag. 249- 269</w:t>
      </w:r>
      <w:bookmarkStart w:id="0" w:name="_GoBack"/>
      <w:bookmarkEnd w:id="0"/>
    </w:p>
    <w:sectPr w:rsidR="00FD0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43"/>
    <w:rsid w:val="00F5104B"/>
    <w:rsid w:val="00F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2018-01-17T07:25:00Z</dcterms:created>
  <dcterms:modified xsi:type="dcterms:W3CDTF">2018-01-17T07:27:00Z</dcterms:modified>
</cp:coreProperties>
</file>