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CB" w:rsidRDefault="005E78CB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145, 1963, P. Marco Tentorio, </w:t>
      </w:r>
      <w:r>
        <w:rPr>
          <w:i/>
          <w:sz w:val="28"/>
          <w:szCs w:val="28"/>
        </w:rPr>
        <w:t xml:space="preserve">Circa un’opera perduta di Mons. Stefano Cosmi crs, La chiesa cattolica e l’interesse di Stato, </w:t>
      </w:r>
      <w:r>
        <w:rPr>
          <w:sz w:val="28"/>
          <w:szCs w:val="28"/>
        </w:rPr>
        <w:t>pag. 150-</w:t>
      </w:r>
      <w:r w:rsidR="0023395A">
        <w:rPr>
          <w:sz w:val="28"/>
          <w:szCs w:val="28"/>
        </w:rPr>
        <w:t>157</w:t>
      </w:r>
    </w:p>
    <w:p w:rsidR="0023395A" w:rsidRDefault="0023395A">
      <w:pPr>
        <w:rPr>
          <w:sz w:val="28"/>
          <w:szCs w:val="28"/>
        </w:rPr>
      </w:pPr>
    </w:p>
    <w:p w:rsidR="0023395A" w:rsidRPr="005E78CB" w:rsidRDefault="0023395A">
      <w:pPr>
        <w:rPr>
          <w:sz w:val="28"/>
          <w:szCs w:val="28"/>
        </w:rPr>
      </w:pPr>
      <w:r>
        <w:rPr>
          <w:sz w:val="28"/>
          <w:szCs w:val="28"/>
        </w:rPr>
        <w:t xml:space="preserve">Riv. Congr. Fasc. 146-147 bis, P. marco Tentorio, </w:t>
      </w:r>
      <w:r w:rsidRPr="0023395A">
        <w:rPr>
          <w:i/>
          <w:sz w:val="28"/>
          <w:szCs w:val="28"/>
        </w:rPr>
        <w:t>Ancora sull’opera di Mons. Cosmi,</w:t>
      </w:r>
      <w:r>
        <w:rPr>
          <w:sz w:val="28"/>
          <w:szCs w:val="28"/>
        </w:rPr>
        <w:t xml:space="preserve"> pag. 46-49</w:t>
      </w:r>
      <w:bookmarkStart w:id="0" w:name="_GoBack"/>
      <w:bookmarkEnd w:id="0"/>
    </w:p>
    <w:sectPr w:rsidR="0023395A" w:rsidRPr="005E7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CB"/>
    <w:rsid w:val="0023395A"/>
    <w:rsid w:val="005E78CB"/>
    <w:rsid w:val="00C4356B"/>
    <w:rsid w:val="00D1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2018-01-09T09:08:00Z</dcterms:created>
  <dcterms:modified xsi:type="dcterms:W3CDTF">2018-01-09T09:31:00Z</dcterms:modified>
</cp:coreProperties>
</file>