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F8" w:rsidRPr="009E49F8" w:rsidRDefault="009E49F8" w:rsidP="009E49F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E49F8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bookmarkStart w:id="0" w:name="_GoBack"/>
    <w:p w:rsidR="009E49F8" w:rsidRPr="009E49F8" w:rsidRDefault="009E49F8" w:rsidP="009E49F8">
      <w:pPr>
        <w:shd w:val="clear" w:color="auto" w:fill="6E6F6E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  <w:r w:rsidRPr="009E49F8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57.05pt;height:17.8pt" o:ole="">
            <v:imagedata r:id="rId6" o:title=""/>
          </v:shape>
          <w:control r:id="rId7" w:name="DefaultOcxName7" w:shapeid="_x0000_i1093"/>
        </w:object>
      </w:r>
      <w:bookmarkEnd w:id="0"/>
      <w:r w:rsidRPr="009E49F8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78" type="#_x0000_t75" style="width:57.05pt;height:17.8pt" o:ole="">
            <v:imagedata r:id="rId6" o:title=""/>
          </v:shape>
          <w:control r:id="rId8" w:name="DefaultOcxName8" w:shapeid="_x0000_i1078"/>
        </w:object>
      </w:r>
    </w:p>
    <w:p w:rsidR="009E49F8" w:rsidRPr="009E49F8" w:rsidRDefault="009E49F8" w:rsidP="009E49F8">
      <w:pPr>
        <w:shd w:val="clear" w:color="auto" w:fill="6E6F6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49F8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81" type="#_x0000_t75" style="width:9.25pt;height:18.55pt" o:ole="">
            <v:imagedata r:id="rId9" o:title=""/>
          </v:shape>
          <w:control r:id="rId10" w:name="DefaultOcxName9" w:shapeid="_x0000_i1081"/>
        </w:object>
      </w:r>
      <w:r w:rsidRPr="009E49F8">
        <w:rPr>
          <w:rFonts w:ascii="Helvetica" w:eastAsia="Times New Roman" w:hAnsi="Helvetica" w:cs="Helvetica"/>
          <w:vanish/>
          <w:color w:val="333333"/>
          <w:sz w:val="21"/>
          <w:szCs w:val="21"/>
        </w:rPr>
        <w:object w:dxaOrig="225" w:dyaOrig="225">
          <v:shape id="_x0000_i1084" type="#_x0000_t75" style="width:1in;height:17.8pt" o:ole="">
            <v:imagedata r:id="rId11" o:title=""/>
          </v:shape>
          <w:control r:id="rId12" w:name="DefaultOcxName10" w:shapeid="_x0000_i1084"/>
        </w:object>
      </w:r>
    </w:p>
    <w:p w:rsidR="009E49F8" w:rsidRPr="009E49F8" w:rsidRDefault="009E49F8" w:rsidP="009E49F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E49F8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9E49F8" w:rsidRDefault="009E49F8" w:rsidP="009E49F8">
      <w:pPr>
        <w:shd w:val="clear" w:color="auto" w:fill="FAF9F6"/>
        <w:spacing w:before="780" w:after="780" w:line="420" w:lineRule="atLeast"/>
        <w:outlineLvl w:val="1"/>
        <w:rPr>
          <w:rFonts w:ascii="Crimson Text" w:eastAsia="Times New Roman" w:hAnsi="Crimson Text" w:cs="Helvetica"/>
          <w:b/>
          <w:bCs/>
          <w:color w:val="3E3F3E"/>
          <w:kern w:val="36"/>
          <w:sz w:val="60"/>
          <w:szCs w:val="60"/>
          <w:lang w:eastAsia="it-IT"/>
        </w:rPr>
      </w:pPr>
      <w:r w:rsidRPr="009E49F8">
        <w:rPr>
          <w:rFonts w:ascii="Crimson Text" w:eastAsia="Times New Roman" w:hAnsi="Crimson Text" w:cs="Helvetica"/>
          <w:b/>
          <w:bCs/>
          <w:color w:val="3E3F3E"/>
          <w:kern w:val="36"/>
          <w:sz w:val="60"/>
          <w:szCs w:val="60"/>
          <w:lang w:eastAsia="it-IT"/>
        </w:rPr>
        <w:t>Eck, Johannes</w:t>
      </w:r>
      <w:r>
        <w:rPr>
          <w:rFonts w:ascii="Crimson Text" w:eastAsia="Times New Roman" w:hAnsi="Crimson Text" w:cs="Helvetica"/>
          <w:b/>
          <w:bCs/>
          <w:color w:val="3E3F3E"/>
          <w:kern w:val="36"/>
          <w:sz w:val="60"/>
          <w:szCs w:val="60"/>
          <w:lang w:eastAsia="it-IT"/>
        </w:rPr>
        <w:t xml:space="preserve">  </w:t>
      </w:r>
    </w:p>
    <w:p w:rsidR="009E49F8" w:rsidRPr="009E49F8" w:rsidRDefault="009E49F8" w:rsidP="009E49F8">
      <w:pPr>
        <w:shd w:val="clear" w:color="auto" w:fill="FAF9F6"/>
        <w:spacing w:before="780" w:after="780" w:line="420" w:lineRule="atLeast"/>
        <w:ind w:firstLine="708"/>
        <w:outlineLvl w:val="1"/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</w:pPr>
      <w:r w:rsidRPr="009E49F8">
        <w:rPr>
          <w:rFonts w:ascii="Crimson Text" w:eastAsia="Times New Roman" w:hAnsi="Crimson Text" w:cs="Helvetica"/>
          <w:b/>
          <w:bCs/>
          <w:color w:val="3E3F3E"/>
          <w:sz w:val="28"/>
          <w:szCs w:val="28"/>
          <w:lang w:eastAsia="it-IT"/>
        </w:rPr>
        <w:t>Eck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, Johannes. - Nome col quale è noto il teologo cattolico 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 xml:space="preserve">Johann Maier 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o 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 xml:space="preserve">Mayr 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(Egg [donde il nome 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>Eckius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, 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>Eck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] an der Günz, Baviera, 1486 - </w:t>
      </w:r>
      <w:hyperlink r:id="rId13" w:history="1">
        <w:r w:rsidRPr="009E49F8">
          <w:rPr>
            <w:rFonts w:ascii="Crimson Text" w:eastAsia="Times New Roman" w:hAnsi="Crimson Text" w:cs="Helvetica"/>
            <w:color w:val="D20000"/>
            <w:sz w:val="28"/>
            <w:szCs w:val="28"/>
            <w:lang w:eastAsia="it-IT"/>
          </w:rPr>
          <w:t>Ingolstadt</w:t>
        </w:r>
      </w:hyperlink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 1543). Sacerdote nel 1508, prof. di teologia nell'università di Ingolstadt (1510), fu tra i primi e più duri avversarî di Lutero (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>Obelisci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, 1517; 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>De primatu Petri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, 1520). A </w:t>
      </w:r>
      <w:hyperlink r:id="rId14" w:history="1">
        <w:r w:rsidRPr="009E49F8">
          <w:rPr>
            <w:rFonts w:ascii="Crimson Text" w:eastAsia="Times New Roman" w:hAnsi="Crimson Text" w:cs="Helvetica"/>
            <w:color w:val="D20000"/>
            <w:sz w:val="28"/>
            <w:szCs w:val="28"/>
            <w:lang w:eastAsia="it-IT"/>
          </w:rPr>
          <w:t>Roma</w:t>
        </w:r>
      </w:hyperlink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, nel 1520 rappresentò da un lato la resistenza di un certo </w:t>
      </w:r>
      <w:hyperlink r:id="rId15" w:history="1">
        <w:r w:rsidRPr="009E49F8">
          <w:rPr>
            <w:rFonts w:ascii="Crimson Text" w:eastAsia="Times New Roman" w:hAnsi="Crimson Text" w:cs="Helvetica"/>
            <w:color w:val="D20000"/>
            <w:sz w:val="28"/>
            <w:szCs w:val="28"/>
            <w:lang w:eastAsia="it-IT"/>
          </w:rPr>
          <w:t>clero</w:t>
        </w:r>
      </w:hyperlink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/"&gt;clero tedesco alla rivolta luterana, ma insieme l'esigenza di una profonda riforma cattolica. Gli fu affidata, insieme con l'Aleandro, la pubblicazione della bolla 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 xml:space="preserve">Exsurge 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in </w:t>
      </w:r>
      <w:hyperlink r:id="rId16" w:history="1">
        <w:r w:rsidRPr="009E49F8">
          <w:rPr>
            <w:rFonts w:ascii="Crimson Text" w:eastAsia="Times New Roman" w:hAnsi="Crimson Text" w:cs="Helvetica"/>
            <w:color w:val="D20000"/>
            <w:sz w:val="28"/>
            <w:szCs w:val="28"/>
            <w:lang w:eastAsia="it-IT"/>
          </w:rPr>
          <w:t>Germania</w:t>
        </w:r>
      </w:hyperlink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>; era come metterlo a capo della lotta antiluterana. Ma, violento e intransigente, egli non esitò a compromettere l'esito di iniziative conciliatrici che trovavano in quel tempo largo favore anche in campo protestante. Melantone gli fu particolarmente avverso: e l'opera maggiore di E., l'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 xml:space="preserve">Enchiridion locorum communium 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 xml:space="preserve">(1525), è appunto diretta contro i </w:t>
      </w:r>
      <w:r w:rsidRPr="009E49F8">
        <w:rPr>
          <w:rFonts w:ascii="Crimson Text" w:eastAsia="Times New Roman" w:hAnsi="Crimson Text" w:cs="Helvetica"/>
          <w:i/>
          <w:iCs/>
          <w:color w:val="3E3F3E"/>
          <w:sz w:val="28"/>
          <w:szCs w:val="28"/>
          <w:lang w:eastAsia="it-IT"/>
        </w:rPr>
        <w:t xml:space="preserve">loci </w:t>
      </w:r>
      <w:r w:rsidRPr="009E49F8">
        <w:rPr>
          <w:rFonts w:ascii="Crimson Text" w:eastAsia="Times New Roman" w:hAnsi="Crimson Text" w:cs="Helvetica"/>
          <w:color w:val="3E3F3E"/>
          <w:sz w:val="28"/>
          <w:szCs w:val="28"/>
          <w:lang w:eastAsia="it-IT"/>
        </w:rPr>
        <w:t>melantoniani. Scrisse anche contro Zwingli (1527). Fu tra i primi a riconoscere che il prestito a interesse non è sempre usura.</w:t>
      </w:r>
    </w:p>
    <w:p w:rsidR="00FA1521" w:rsidRDefault="00FA1521"/>
    <w:sectPr w:rsidR="00FA1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rimson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4B2"/>
    <w:multiLevelType w:val="multilevel"/>
    <w:tmpl w:val="626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A479D"/>
    <w:multiLevelType w:val="multilevel"/>
    <w:tmpl w:val="1B60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B620D"/>
    <w:multiLevelType w:val="multilevel"/>
    <w:tmpl w:val="A6D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F8"/>
    <w:rsid w:val="00270B56"/>
    <w:rsid w:val="009E49F8"/>
    <w:rsid w:val="00F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9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9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1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10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31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23786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186888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://www.treccani.it/enciclopedia/ingolstad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reccani.it/enciclopedia/germani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treccani.it/enciclopedia/clero/" TargetMode="Externa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treccani.it/enciclopedia/rom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2017-12-20T08:33:00Z</dcterms:created>
  <dcterms:modified xsi:type="dcterms:W3CDTF">2018-10-18T13:46:00Z</dcterms:modified>
</cp:coreProperties>
</file>