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72" w:rsidRPr="00567D72" w:rsidRDefault="00567D72" w:rsidP="00567D72">
      <w:pPr>
        <w:jc w:val="center"/>
        <w:rPr>
          <w:b/>
          <w:sz w:val="28"/>
          <w:szCs w:val="28"/>
        </w:rPr>
      </w:pPr>
      <w:r w:rsidRPr="00567D72">
        <w:rPr>
          <w:b/>
          <w:sz w:val="28"/>
          <w:szCs w:val="28"/>
        </w:rPr>
        <w:t>ELENCO OPUSCOLI n. 1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Accademia della Fortuna, di P. Bonagrazia,1693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Aceti P. Gilberto, 1835-1885, 2012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Alessandro Manzoni ed i Somaschi, 2012</w:t>
      </w:r>
      <w:bookmarkStart w:id="0" w:name="_GoBack"/>
      <w:bookmarkEnd w:id="0"/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Beneo, “ Libro delle proposte, articoli, 2004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Bibliografia, ad uso personale, 2000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Bonacina, Lettera dedica, Le regole dell’orazione mentale, di Girolamo Molfetta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Bonagrazia P., Accademia della Fortuna, 1693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Bourderot P. Charles, 1856-1911, 2012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Campagner P. Gioacchino, 1838-1902, 2012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Catalogo delle opere di Tiziano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Classe del 1937 di Corbetta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Conclusione delle diverse biografie su prigionia e liberazione di San Girolamo, 2016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Gullino, Girolamo ed il dono dei ceppi alla Madonna Grande, 2011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Incendio del Divino Amore, S. Lorenzo Giustiniani, 2011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Libri … cinquecentine ..a Corbetta, 1999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Libri .. di Corbetta, cinquencentine, porttai al Gallio, 1999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Monnis, Servo dei Poveri, di Marcello Amici, 2011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Oddone, Educazione culturale di S. Girolamo Miani, 2012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Opere di Padri Somaschi conservate a Corbetta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Opere di Somaschi in Bibl Concordi di Rovigo, 2001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Padri destinati dall’obbedienza a Corbetta fino al 1951, 2000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Prigionia e liberazione di San Girolamo Miani, 28.9.1511, 27.9.2009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Rettifica necessaria e divagazioni, 27.9.2016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lastRenderedPageBreak/>
        <w:t>Somasca, Biblioteca della Casa Madre</w:t>
      </w:r>
    </w:p>
    <w:p w:rsidR="00567D72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Sommacale P. Antonio, 1867-1897, 2012</w:t>
      </w:r>
    </w:p>
    <w:p w:rsidR="006C26B1" w:rsidRPr="00567D72" w:rsidRDefault="00567D72" w:rsidP="00567D72">
      <w:pPr>
        <w:rPr>
          <w:sz w:val="28"/>
          <w:szCs w:val="28"/>
        </w:rPr>
      </w:pPr>
      <w:r w:rsidRPr="00567D72">
        <w:rPr>
          <w:sz w:val="28"/>
          <w:szCs w:val="28"/>
        </w:rPr>
        <w:t>4 Studi su spiritualità del Miani, 2000</w:t>
      </w:r>
    </w:p>
    <w:sectPr w:rsidR="006C26B1" w:rsidRPr="00567D7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3A" w:rsidRDefault="009C673A" w:rsidP="00567D72">
      <w:pPr>
        <w:spacing w:after="0" w:line="240" w:lineRule="auto"/>
      </w:pPr>
      <w:r>
        <w:separator/>
      </w:r>
    </w:p>
  </w:endnote>
  <w:endnote w:type="continuationSeparator" w:id="0">
    <w:p w:rsidR="009C673A" w:rsidRDefault="009C673A" w:rsidP="0056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3A" w:rsidRDefault="009C673A" w:rsidP="00567D72">
      <w:pPr>
        <w:spacing w:after="0" w:line="240" w:lineRule="auto"/>
      </w:pPr>
      <w:r>
        <w:separator/>
      </w:r>
    </w:p>
  </w:footnote>
  <w:footnote w:type="continuationSeparator" w:id="0">
    <w:p w:rsidR="009C673A" w:rsidRDefault="009C673A" w:rsidP="00567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89600"/>
      <w:docPartObj>
        <w:docPartGallery w:val="Page Numbers (Top of Page)"/>
        <w:docPartUnique/>
      </w:docPartObj>
    </w:sdtPr>
    <w:sdtContent>
      <w:p w:rsidR="00567D72" w:rsidRDefault="00567D7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7D72" w:rsidRDefault="00567D7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72"/>
    <w:rsid w:val="00567D72"/>
    <w:rsid w:val="006C26B1"/>
    <w:rsid w:val="009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D72"/>
  </w:style>
  <w:style w:type="paragraph" w:styleId="Pidipagina">
    <w:name w:val="footer"/>
    <w:basedOn w:val="Normale"/>
    <w:link w:val="PidipaginaCarattere"/>
    <w:uiPriority w:val="99"/>
    <w:unhideWhenUsed/>
    <w:rsid w:val="00567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D72"/>
  </w:style>
  <w:style w:type="paragraph" w:styleId="Pidipagina">
    <w:name w:val="footer"/>
    <w:basedOn w:val="Normale"/>
    <w:link w:val="PidipaginaCarattere"/>
    <w:uiPriority w:val="99"/>
    <w:unhideWhenUsed/>
    <w:rsid w:val="00567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2018-02-23T07:07:00Z</dcterms:created>
  <dcterms:modified xsi:type="dcterms:W3CDTF">2018-02-23T07:08:00Z</dcterms:modified>
</cp:coreProperties>
</file>