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2" w:rsidRDefault="00270EBA">
      <w:pPr>
        <w:rPr>
          <w:sz w:val="28"/>
          <w:szCs w:val="28"/>
        </w:rPr>
      </w:pPr>
      <w:r>
        <w:rPr>
          <w:sz w:val="28"/>
          <w:szCs w:val="28"/>
        </w:rPr>
        <w:t>RIV. CONGR, Fasc. 23, 1928, pag. 277:</w:t>
      </w:r>
    </w:p>
    <w:p w:rsidR="00270EBA" w:rsidRPr="00270EBA" w:rsidRDefault="00270EBA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0426B0C" wp14:editId="5B7DE63C">
            <wp:extent cx="4572235" cy="3137061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31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EBA" w:rsidRPr="0027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A"/>
    <w:rsid w:val="00270EBA"/>
    <w:rsid w:val="00E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2018-01-13T13:40:00Z</dcterms:created>
  <dcterms:modified xsi:type="dcterms:W3CDTF">2018-01-13T13:42:00Z</dcterms:modified>
</cp:coreProperties>
</file>