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D0" w:rsidRDefault="009E6150">
      <w:r>
        <w:rPr>
          <w:noProof/>
          <w:lang w:eastAsia="it-IT"/>
        </w:rPr>
        <w:drawing>
          <wp:inline distT="0" distB="0" distL="0" distR="0" wp14:anchorId="0B241511" wp14:editId="40695DA4">
            <wp:extent cx="1333569" cy="2165461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3569" cy="2165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150" w:rsidRDefault="009E6150">
      <w:r>
        <w:t>Riv. Congr, fasc. 55. 1934, nevrologio, pag. 47-51</w:t>
      </w:r>
      <w:bookmarkStart w:id="0" w:name="_GoBack"/>
      <w:bookmarkEnd w:id="0"/>
    </w:p>
    <w:sectPr w:rsidR="009E61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50"/>
    <w:rsid w:val="009E6150"/>
    <w:rsid w:val="00FA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6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6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2018-01-17T09:07:00Z</dcterms:created>
  <dcterms:modified xsi:type="dcterms:W3CDTF">2018-01-17T09:10:00Z</dcterms:modified>
</cp:coreProperties>
</file>